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黑体" w:cs="宋体"/>
          <w:sz w:val="32"/>
          <w:lang w:eastAsia="zh-CN"/>
        </w:rPr>
      </w:pPr>
    </w:p>
    <w:p>
      <w:pPr>
        <w:spacing w:after="0" w:line="240" w:lineRule="auto"/>
        <w:rPr>
          <w:rFonts w:eastAsia="仿宋"/>
        </w:rPr>
      </w:pPr>
      <w:r>
        <w:rPr>
          <w:rFonts w:ascii="宋体" w:hAnsi="宋体" w:eastAsia="宋体"/>
          <w:sz w:val="32"/>
        </w:rPr>
        <w:t>​</w:t>
      </w:r>
    </w:p>
    <w:p>
      <w:pPr>
        <w:keepNext w:val="0"/>
        <w:keepLines w:val="0"/>
        <w:pageBreakBefore w:val="0"/>
        <w:widowControl/>
        <w:kinsoku/>
        <w:wordWrap/>
        <w:overflowPunct/>
        <w:topLinePunct w:val="0"/>
        <w:autoSpaceDE/>
        <w:autoSpaceDN/>
        <w:bidi w:val="0"/>
        <w:adjustRightInd/>
        <w:snapToGrid/>
        <w:spacing w:line="567" w:lineRule="exact"/>
        <w:jc w:val="center"/>
        <w:textAlignment w:val="auto"/>
        <w:rPr>
          <w:rFonts w:hint="eastAsia" w:ascii="方正小标宋简体" w:hAnsi="方正小标宋简体" w:eastAsia="方正小标宋简体" w:cs="方正小标宋简体"/>
          <w:color w:val="333333"/>
          <w:sz w:val="44"/>
          <w:szCs w:val="44"/>
          <w:shd w:val="clear" w:color="auto" w:fill="FFFFFF"/>
        </w:rPr>
      </w:pPr>
      <w:bookmarkStart w:id="0" w:name="_GoBack"/>
      <w:r>
        <w:rPr>
          <w:rFonts w:hint="eastAsia" w:ascii="方正小标宋简体" w:hAnsi="方正小标宋简体" w:eastAsia="方正小标宋简体" w:cs="方正小标宋简体"/>
          <w:color w:val="333333"/>
          <w:sz w:val="44"/>
          <w:szCs w:val="44"/>
          <w:shd w:val="clear" w:color="auto" w:fill="FFFFFF"/>
        </w:rPr>
        <w:t>淮安市乡村人居环境改善促进条例</w:t>
      </w:r>
      <w:bookmarkEnd w:id="0"/>
    </w:p>
    <w:p>
      <w:pPr>
        <w:keepNext w:val="0"/>
        <w:keepLines w:val="0"/>
        <w:pageBreakBefore w:val="0"/>
        <w:widowControl/>
        <w:kinsoku/>
        <w:wordWrap/>
        <w:overflowPunct/>
        <w:topLinePunct w:val="0"/>
        <w:autoSpaceDE/>
        <w:autoSpaceDN/>
        <w:bidi w:val="0"/>
        <w:adjustRightInd/>
        <w:snapToGrid/>
        <w:ind w:left="632" w:leftChars="200" w:right="632" w:rightChars="200" w:firstLine="632" w:firstLineChars="200"/>
        <w:textAlignment w:val="auto"/>
        <w:rPr>
          <w:rFonts w:hint="eastAsia" w:ascii="Times New Roman" w:hAnsi="Times New Roman" w:eastAsia="楷体" w:cs="楷体"/>
          <w:bCs w:val="0"/>
          <w:spacing w:val="0"/>
          <w:sz w:val="32"/>
          <w:szCs w:val="32"/>
          <w:shd w:val="clear" w:color="auto" w:fill="FFFFFF"/>
        </w:rPr>
      </w:pPr>
      <w:r>
        <w:rPr>
          <w:rFonts w:ascii="宋体" w:hAnsi="宋体" w:eastAsia="宋体"/>
          <w:sz w:val="32"/>
        </w:rPr>
        <w:t>​</w:t>
      </w:r>
    </w:p>
    <w:p>
      <w:pPr>
        <w:keepNext w:val="0"/>
        <w:keepLines w:val="0"/>
        <w:pageBreakBefore w:val="0"/>
        <w:widowControl/>
        <w:kinsoku/>
        <w:wordWrap/>
        <w:overflowPunct/>
        <w:topLinePunct w:val="0"/>
        <w:autoSpaceDE/>
        <w:autoSpaceDN/>
        <w:bidi w:val="0"/>
        <w:adjustRightInd/>
        <w:snapToGrid/>
        <w:ind w:left="632" w:leftChars="200" w:right="632" w:rightChars="200" w:firstLine="632" w:firstLineChars="200"/>
        <w:textAlignment w:val="auto"/>
        <w:rPr>
          <w:rFonts w:hint="eastAsia" w:ascii="Times New Roman" w:hAnsi="Times New Roman" w:eastAsia="楷体" w:cs="楷体"/>
          <w:bCs w:val="0"/>
          <w:spacing w:val="0"/>
          <w:sz w:val="32"/>
          <w:szCs w:val="32"/>
          <w:shd w:val="clear" w:color="auto" w:fill="FFFFFF"/>
        </w:rPr>
      </w:pPr>
      <w:r>
        <w:rPr>
          <w:rFonts w:hint="eastAsia" w:ascii="Times New Roman" w:hAnsi="Times New Roman" w:eastAsia="楷体" w:cs="楷体"/>
          <w:bCs w:val="0"/>
          <w:spacing w:val="0"/>
          <w:sz w:val="32"/>
          <w:szCs w:val="32"/>
          <w:shd w:val="clear" w:color="auto" w:fill="FFFFFF"/>
        </w:rPr>
        <w:t>（2023年10月25日淮安市第九届人民代表大会常务委员会第十四次会议通过</w:t>
      </w:r>
      <w:r>
        <w:rPr>
          <w:rFonts w:hint="eastAsia" w:ascii="Times New Roman" w:hAnsi="Times New Roman" w:eastAsia="楷体" w:cs="楷体"/>
          <w:bCs w:val="0"/>
          <w:spacing w:val="0"/>
          <w:sz w:val="32"/>
          <w:szCs w:val="32"/>
          <w:shd w:val="clear" w:color="auto" w:fill="FFFFFF"/>
          <w:lang w:val="en-US" w:eastAsia="zh-CN"/>
        </w:rPr>
        <w:t xml:space="preserve">  </w:t>
      </w:r>
      <w:r>
        <w:rPr>
          <w:rFonts w:hint="eastAsia" w:ascii="Times New Roman" w:hAnsi="Times New Roman" w:eastAsia="楷体" w:cs="楷体"/>
          <w:bCs w:val="0"/>
          <w:spacing w:val="0"/>
          <w:sz w:val="32"/>
          <w:szCs w:val="32"/>
          <w:shd w:val="clear" w:color="auto" w:fill="FFFFFF"/>
        </w:rPr>
        <w:t>2023年11月29日江苏省第十四届人民代表大会常务委员会第六次会议批准</w:t>
      </w:r>
      <w:r>
        <w:rPr>
          <w:rFonts w:hint="eastAsia" w:ascii="Times New Roman" w:hAnsi="Times New Roman" w:eastAsia="楷体" w:cs="楷体"/>
          <w:bCs w:val="0"/>
          <w:spacing w:val="0"/>
          <w:sz w:val="32"/>
          <w:szCs w:val="32"/>
          <w:shd w:val="clear" w:color="auto" w:fill="FFFFFF"/>
          <w:lang w:val="en-US" w:eastAsia="zh-CN"/>
        </w:rPr>
        <w:t xml:space="preserve">  </w:t>
      </w:r>
      <w:r>
        <w:rPr>
          <w:rFonts w:hint="default" w:ascii="Times New Roman" w:hAnsi="Times New Roman" w:eastAsia="楷体" w:cs="楷体"/>
          <w:bCs w:val="0"/>
          <w:spacing w:val="0"/>
          <w:sz w:val="32"/>
          <w:szCs w:val="32"/>
          <w:shd w:val="clear" w:color="auto" w:fill="FFFFFF"/>
        </w:rPr>
        <w:t>根据202</w:t>
      </w:r>
      <w:r>
        <w:rPr>
          <w:rFonts w:hint="eastAsia" w:ascii="Times New Roman" w:hAnsi="Times New Roman" w:eastAsia="楷体" w:cs="楷体"/>
          <w:bCs w:val="0"/>
          <w:spacing w:val="0"/>
          <w:sz w:val="32"/>
          <w:szCs w:val="32"/>
          <w:shd w:val="clear" w:color="auto" w:fill="FFFFFF"/>
          <w:lang w:val="en-US" w:eastAsia="zh-CN"/>
        </w:rPr>
        <w:t>6</w:t>
      </w:r>
      <w:r>
        <w:rPr>
          <w:rFonts w:hint="default" w:ascii="Times New Roman" w:hAnsi="Times New Roman" w:eastAsia="楷体" w:cs="楷体"/>
          <w:bCs w:val="0"/>
          <w:spacing w:val="0"/>
          <w:sz w:val="32"/>
          <w:szCs w:val="32"/>
          <w:shd w:val="clear" w:color="auto" w:fill="FFFFFF"/>
        </w:rPr>
        <w:t>年6月</w:t>
      </w:r>
      <w:r>
        <w:rPr>
          <w:rFonts w:hint="eastAsia" w:ascii="Times New Roman" w:hAnsi="Times New Roman" w:eastAsia="楷体" w:cs="楷体"/>
          <w:bCs w:val="0"/>
          <w:spacing w:val="0"/>
          <w:sz w:val="32"/>
          <w:szCs w:val="32"/>
          <w:shd w:val="clear" w:color="auto" w:fill="FFFFFF"/>
          <w:lang w:val="en-US" w:eastAsia="zh-CN"/>
        </w:rPr>
        <w:t>30</w:t>
      </w:r>
      <w:r>
        <w:rPr>
          <w:rFonts w:hint="default" w:ascii="Times New Roman" w:hAnsi="Times New Roman" w:eastAsia="楷体" w:cs="楷体"/>
          <w:bCs w:val="0"/>
          <w:spacing w:val="0"/>
          <w:sz w:val="32"/>
          <w:szCs w:val="32"/>
          <w:shd w:val="clear" w:color="auto" w:fill="FFFFFF"/>
        </w:rPr>
        <w:t>日淮安市第九届人民代表大会常务委员会第</w:t>
      </w:r>
      <w:r>
        <w:rPr>
          <w:rFonts w:hint="eastAsia" w:ascii="Times New Roman" w:hAnsi="Times New Roman" w:eastAsia="楷体" w:cs="楷体"/>
          <w:bCs w:val="0"/>
          <w:spacing w:val="0"/>
          <w:sz w:val="32"/>
          <w:szCs w:val="32"/>
          <w:shd w:val="clear" w:color="auto" w:fill="FFFFFF"/>
          <w:lang w:eastAsia="zh-CN"/>
        </w:rPr>
        <w:t>三十四</w:t>
      </w:r>
      <w:r>
        <w:rPr>
          <w:rFonts w:hint="default" w:ascii="Times New Roman" w:hAnsi="Times New Roman" w:eastAsia="楷体" w:cs="楷体"/>
          <w:bCs w:val="0"/>
          <w:spacing w:val="0"/>
          <w:sz w:val="32"/>
          <w:szCs w:val="32"/>
          <w:shd w:val="clear" w:color="auto" w:fill="FFFFFF"/>
        </w:rPr>
        <w:t>次会议通过</w:t>
      </w:r>
      <w:r>
        <w:rPr>
          <w:rFonts w:hint="eastAsia" w:eastAsia="楷体" w:cs="楷体"/>
          <w:bCs w:val="0"/>
          <w:spacing w:val="0"/>
          <w:sz w:val="32"/>
          <w:szCs w:val="32"/>
          <w:shd w:val="clear" w:color="auto" w:fill="FFFFFF"/>
          <w:lang w:val="en-US" w:eastAsia="zh-CN"/>
        </w:rPr>
        <w:t>并经</w:t>
      </w:r>
      <w:r>
        <w:rPr>
          <w:rFonts w:hint="eastAsia" w:ascii="Times New Roman" w:hAnsi="Times New Roman" w:eastAsia="楷体" w:cs="楷体"/>
          <w:bCs w:val="0"/>
          <w:spacing w:val="0"/>
          <w:sz w:val="32"/>
          <w:szCs w:val="32"/>
          <w:shd w:val="clear" w:color="auto" w:fill="FFFFFF"/>
        </w:rPr>
        <w:t>202</w:t>
      </w:r>
      <w:r>
        <w:rPr>
          <w:rFonts w:hint="eastAsia" w:ascii="Times New Roman" w:hAnsi="Times New Roman" w:eastAsia="楷体" w:cs="楷体"/>
          <w:bCs w:val="0"/>
          <w:spacing w:val="0"/>
          <w:sz w:val="32"/>
          <w:szCs w:val="32"/>
          <w:shd w:val="clear" w:color="auto" w:fill="FFFFFF"/>
          <w:lang w:val="en-US" w:eastAsia="zh-CN"/>
        </w:rPr>
        <w:t>6</w:t>
      </w:r>
      <w:r>
        <w:rPr>
          <w:rFonts w:hint="eastAsia" w:ascii="Times New Roman" w:hAnsi="Times New Roman" w:eastAsia="楷体" w:cs="楷体"/>
          <w:bCs w:val="0"/>
          <w:spacing w:val="0"/>
          <w:sz w:val="32"/>
          <w:szCs w:val="32"/>
          <w:shd w:val="clear" w:color="auto" w:fill="FFFFFF"/>
        </w:rPr>
        <w:t>年</w:t>
      </w:r>
      <w:r>
        <w:rPr>
          <w:rFonts w:hint="eastAsia" w:ascii="Times New Roman" w:hAnsi="Times New Roman" w:eastAsia="楷体" w:cs="楷体"/>
          <w:bCs w:val="0"/>
          <w:spacing w:val="0"/>
          <w:sz w:val="32"/>
          <w:szCs w:val="32"/>
          <w:shd w:val="clear" w:color="auto" w:fill="FFFFFF"/>
          <w:lang w:val="en-US" w:eastAsia="zh-CN"/>
        </w:rPr>
        <w:t>7</w:t>
      </w:r>
      <w:r>
        <w:rPr>
          <w:rFonts w:hint="eastAsia" w:ascii="Times New Roman" w:hAnsi="Times New Roman" w:eastAsia="楷体" w:cs="楷体"/>
          <w:bCs w:val="0"/>
          <w:spacing w:val="0"/>
          <w:sz w:val="32"/>
          <w:szCs w:val="32"/>
          <w:shd w:val="clear" w:color="auto" w:fill="FFFFFF"/>
        </w:rPr>
        <w:t>月</w:t>
      </w:r>
      <w:r>
        <w:rPr>
          <w:rFonts w:hint="eastAsia" w:ascii="Times New Roman" w:hAnsi="Times New Roman" w:eastAsia="楷体" w:cs="楷体"/>
          <w:bCs w:val="0"/>
          <w:spacing w:val="0"/>
          <w:sz w:val="32"/>
          <w:szCs w:val="32"/>
          <w:shd w:val="clear" w:color="auto" w:fill="FFFFFF"/>
          <w:lang w:val="en-US" w:eastAsia="zh-CN"/>
        </w:rPr>
        <w:t>31</w:t>
      </w:r>
      <w:r>
        <w:rPr>
          <w:rFonts w:hint="eastAsia" w:ascii="Times New Roman" w:hAnsi="Times New Roman" w:eastAsia="楷体" w:cs="楷体"/>
          <w:bCs w:val="0"/>
          <w:spacing w:val="0"/>
          <w:sz w:val="32"/>
          <w:szCs w:val="32"/>
          <w:shd w:val="clear" w:color="auto" w:fill="FFFFFF"/>
        </w:rPr>
        <w:t>日江苏省第十四届人民代表大会常务委员会第</w:t>
      </w:r>
      <w:r>
        <w:rPr>
          <w:rFonts w:hint="eastAsia" w:ascii="Times New Roman" w:hAnsi="Times New Roman" w:eastAsia="楷体" w:cs="楷体"/>
          <w:bCs w:val="0"/>
          <w:spacing w:val="0"/>
          <w:sz w:val="32"/>
          <w:szCs w:val="32"/>
          <w:shd w:val="clear" w:color="auto" w:fill="FFFFFF"/>
          <w:lang w:val="en-US" w:eastAsia="zh-CN"/>
        </w:rPr>
        <w:t>二十三</w:t>
      </w:r>
      <w:r>
        <w:rPr>
          <w:rFonts w:hint="eastAsia" w:ascii="Times New Roman" w:hAnsi="Times New Roman" w:eastAsia="楷体" w:cs="楷体"/>
          <w:bCs w:val="0"/>
          <w:spacing w:val="0"/>
          <w:sz w:val="32"/>
          <w:szCs w:val="32"/>
          <w:shd w:val="clear" w:color="auto" w:fill="FFFFFF"/>
        </w:rPr>
        <w:t>次会议批准的《</w:t>
      </w:r>
      <w:r>
        <w:rPr>
          <w:rFonts w:hint="eastAsia" w:ascii="Times New Roman" w:hAnsi="Times New Roman" w:eastAsia="楷体" w:cs="楷体"/>
          <w:bCs w:val="0"/>
          <w:spacing w:val="0"/>
          <w:sz w:val="32"/>
          <w:szCs w:val="32"/>
          <w:shd w:val="clear" w:color="auto" w:fill="FFFFFF"/>
          <w:lang w:val="en-US" w:eastAsia="zh-CN"/>
        </w:rPr>
        <w:t>淮安</w:t>
      </w:r>
      <w:r>
        <w:rPr>
          <w:rFonts w:hint="eastAsia" w:ascii="Times New Roman" w:hAnsi="Times New Roman" w:eastAsia="楷体" w:cs="楷体"/>
          <w:bCs w:val="0"/>
          <w:spacing w:val="0"/>
          <w:sz w:val="32"/>
          <w:szCs w:val="32"/>
          <w:shd w:val="clear" w:color="auto" w:fill="FFFFFF"/>
        </w:rPr>
        <w:t>市人民代表大会常务委员会关于修改〈</w:t>
      </w:r>
      <w:r>
        <w:rPr>
          <w:rFonts w:hint="eastAsia" w:ascii="Times New Roman" w:hAnsi="Times New Roman" w:eastAsia="楷体" w:cs="楷体"/>
          <w:bCs w:val="0"/>
          <w:spacing w:val="0"/>
          <w:sz w:val="32"/>
          <w:szCs w:val="32"/>
          <w:shd w:val="clear" w:color="auto" w:fill="FFFFFF"/>
          <w:lang w:val="en-US" w:eastAsia="zh-CN"/>
        </w:rPr>
        <w:t>淮安</w:t>
      </w:r>
      <w:r>
        <w:rPr>
          <w:rFonts w:hint="eastAsia" w:ascii="Times New Roman" w:hAnsi="Times New Roman" w:eastAsia="楷体" w:cs="楷体"/>
          <w:bCs w:val="0"/>
          <w:spacing w:val="0"/>
          <w:sz w:val="32"/>
          <w:szCs w:val="32"/>
          <w:shd w:val="clear" w:color="auto" w:fill="FFFFFF"/>
        </w:rPr>
        <w:t>市</w:t>
      </w:r>
      <w:r>
        <w:rPr>
          <w:rFonts w:hint="eastAsia" w:ascii="Times New Roman" w:hAnsi="Times New Roman" w:eastAsia="楷体" w:cs="楷体"/>
          <w:bCs w:val="0"/>
          <w:spacing w:val="0"/>
          <w:sz w:val="32"/>
          <w:szCs w:val="32"/>
          <w:shd w:val="clear" w:color="auto" w:fill="FFFFFF"/>
          <w:lang w:val="en-US" w:eastAsia="zh-CN"/>
        </w:rPr>
        <w:t>文明行为促进</w:t>
      </w:r>
      <w:r>
        <w:rPr>
          <w:rFonts w:hint="eastAsia" w:ascii="Times New Roman" w:hAnsi="Times New Roman" w:eastAsia="楷体" w:cs="楷体"/>
          <w:bCs w:val="0"/>
          <w:spacing w:val="0"/>
          <w:sz w:val="32"/>
          <w:szCs w:val="32"/>
          <w:shd w:val="clear" w:color="auto" w:fill="FFFFFF"/>
        </w:rPr>
        <w:t>条例〉等</w:t>
      </w:r>
      <w:r>
        <w:rPr>
          <w:rFonts w:hint="eastAsia" w:ascii="Times New Roman" w:hAnsi="Times New Roman" w:eastAsia="楷体" w:cs="楷体"/>
          <w:bCs w:val="0"/>
          <w:spacing w:val="0"/>
          <w:sz w:val="32"/>
          <w:szCs w:val="32"/>
          <w:shd w:val="clear" w:color="auto" w:fill="FFFFFF"/>
          <w:lang w:val="en-US" w:eastAsia="zh-CN"/>
        </w:rPr>
        <w:t>七</w:t>
      </w:r>
      <w:r>
        <w:rPr>
          <w:rFonts w:hint="eastAsia" w:ascii="Times New Roman" w:hAnsi="Times New Roman" w:eastAsia="楷体" w:cs="楷体"/>
          <w:bCs w:val="0"/>
          <w:spacing w:val="0"/>
          <w:sz w:val="32"/>
          <w:szCs w:val="32"/>
          <w:shd w:val="clear" w:color="auto" w:fill="FFFFFF"/>
        </w:rPr>
        <w:t>件地方性法规的决定》修正）</w:t>
      </w:r>
    </w:p>
    <w:p>
      <w:pPr>
        <w:keepNext w:val="0"/>
        <w:keepLines w:val="0"/>
        <w:pageBreakBefore w:val="0"/>
        <w:widowControl/>
        <w:kinsoku/>
        <w:wordWrap/>
        <w:overflowPunct/>
        <w:topLinePunct w:val="0"/>
        <w:autoSpaceDE/>
        <w:autoSpaceDN/>
        <w:bidi w:val="0"/>
        <w:adjustRightInd/>
        <w:snapToGrid/>
        <w:ind w:left="632" w:leftChars="200" w:right="632" w:rightChars="200" w:firstLine="632" w:firstLineChars="200"/>
        <w:textAlignment w:val="auto"/>
        <w:rPr>
          <w:rFonts w:hint="eastAsia" w:ascii="Times New Roman" w:hAnsi="Times New Roman" w:eastAsia="楷体" w:cs="楷体"/>
          <w:bCs w:val="0"/>
          <w:spacing w:val="0"/>
          <w:sz w:val="32"/>
          <w:szCs w:val="32"/>
          <w:shd w:val="clear" w:color="auto" w:fill="FFFFFF"/>
        </w:rPr>
      </w:pPr>
    </w:p>
    <w:p>
      <w:pPr>
        <w:spacing w:after="0" w:line="240" w:lineRule="auto"/>
        <w:rPr>
          <w:rFonts w:eastAsia="仿宋"/>
        </w:rPr>
      </w:pPr>
      <w:r>
        <w:rPr>
          <w:rFonts w:ascii="宋体" w:hAnsi="宋体" w:eastAsia="宋体"/>
          <w:sz w:val="32"/>
        </w:rPr>
        <w:t>​</w:t>
      </w:r>
    </w:p>
    <w:p>
      <w:pPr>
        <w:spacing w:before="0" w:after="0" w:line="240" w:lineRule="auto"/>
        <w:jc w:val="center"/>
        <w:rPr>
          <w:rFonts w:eastAsia="仿宋"/>
        </w:rPr>
      </w:pPr>
      <w:r>
        <w:rPr>
          <w:rFonts w:ascii="楷体_GB2312" w:hAnsi="楷体_GB2312" w:eastAsia="楷体"/>
          <w:sz w:val="32"/>
        </w:rPr>
        <w:t>目　　录</w:t>
      </w:r>
    </w:p>
    <w:p>
      <w:pPr>
        <w:keepNext w:val="0"/>
        <w:keepLines w:val="0"/>
        <w:pageBreakBefore w:val="0"/>
        <w:widowControl w:val="0"/>
        <w:kinsoku/>
        <w:wordWrap/>
        <w:overflowPunct/>
        <w:topLinePunct w:val="0"/>
        <w:autoSpaceDE/>
        <w:autoSpaceDN/>
        <w:bidi w:val="0"/>
        <w:adjustRightInd/>
        <w:snapToGrid/>
        <w:spacing w:before="0" w:after="0" w:line="240" w:lineRule="auto"/>
        <w:ind w:left="632" w:leftChars="200" w:right="632" w:rightChars="200"/>
        <w:jc w:val="left"/>
        <w:textAlignment w:val="auto"/>
        <w:rPr>
          <w:rFonts w:eastAsia="仿宋"/>
        </w:rPr>
      </w:pPr>
      <w:r>
        <w:rPr>
          <w:rFonts w:ascii="楷体_GB2312" w:hAnsi="楷体_GB2312" w:eastAsia="楷体"/>
          <w:sz w:val="32"/>
        </w:rPr>
        <w:t>第一章　总　　则</w:t>
      </w:r>
    </w:p>
    <w:p>
      <w:pPr>
        <w:keepNext w:val="0"/>
        <w:keepLines w:val="0"/>
        <w:pageBreakBefore w:val="0"/>
        <w:widowControl w:val="0"/>
        <w:kinsoku/>
        <w:wordWrap/>
        <w:overflowPunct/>
        <w:topLinePunct w:val="0"/>
        <w:autoSpaceDE/>
        <w:autoSpaceDN/>
        <w:bidi w:val="0"/>
        <w:adjustRightInd/>
        <w:snapToGrid/>
        <w:spacing w:before="0" w:after="0" w:line="240" w:lineRule="auto"/>
        <w:ind w:left="632" w:leftChars="200" w:right="632" w:rightChars="200"/>
        <w:jc w:val="left"/>
        <w:textAlignment w:val="auto"/>
        <w:rPr>
          <w:rFonts w:eastAsia="仿宋"/>
        </w:rPr>
      </w:pPr>
      <w:r>
        <w:rPr>
          <w:rFonts w:ascii="楷体_GB2312" w:hAnsi="楷体_GB2312" w:eastAsia="楷体"/>
          <w:sz w:val="32"/>
        </w:rPr>
        <w:t>第二章　村容村貌提升</w:t>
      </w:r>
    </w:p>
    <w:p>
      <w:pPr>
        <w:keepNext w:val="0"/>
        <w:keepLines w:val="0"/>
        <w:pageBreakBefore w:val="0"/>
        <w:widowControl w:val="0"/>
        <w:kinsoku/>
        <w:wordWrap/>
        <w:overflowPunct/>
        <w:topLinePunct w:val="0"/>
        <w:autoSpaceDE/>
        <w:autoSpaceDN/>
        <w:bidi w:val="0"/>
        <w:adjustRightInd/>
        <w:snapToGrid/>
        <w:spacing w:before="0" w:after="0" w:line="240" w:lineRule="auto"/>
        <w:ind w:left="632" w:leftChars="200" w:right="632" w:rightChars="200"/>
        <w:jc w:val="left"/>
        <w:textAlignment w:val="auto"/>
        <w:rPr>
          <w:rFonts w:eastAsia="仿宋"/>
        </w:rPr>
      </w:pPr>
      <w:r>
        <w:rPr>
          <w:rFonts w:ascii="楷体_GB2312" w:hAnsi="楷体_GB2312" w:eastAsia="楷体"/>
          <w:sz w:val="32"/>
        </w:rPr>
        <w:t>第三章　厕所改造和生活污水治理</w:t>
      </w:r>
    </w:p>
    <w:p>
      <w:pPr>
        <w:keepNext w:val="0"/>
        <w:keepLines w:val="0"/>
        <w:pageBreakBefore w:val="0"/>
        <w:widowControl w:val="0"/>
        <w:kinsoku/>
        <w:wordWrap/>
        <w:overflowPunct/>
        <w:topLinePunct w:val="0"/>
        <w:autoSpaceDE/>
        <w:autoSpaceDN/>
        <w:bidi w:val="0"/>
        <w:adjustRightInd/>
        <w:snapToGrid/>
        <w:spacing w:before="0" w:after="0" w:line="240" w:lineRule="auto"/>
        <w:ind w:left="632" w:leftChars="200" w:right="632" w:rightChars="200"/>
        <w:jc w:val="left"/>
        <w:textAlignment w:val="auto"/>
        <w:rPr>
          <w:rFonts w:eastAsia="仿宋"/>
        </w:rPr>
      </w:pPr>
      <w:r>
        <w:rPr>
          <w:rFonts w:ascii="楷体_GB2312" w:hAnsi="楷体_GB2312" w:eastAsia="楷体"/>
          <w:sz w:val="32"/>
        </w:rPr>
        <w:t>第四章　生活垃圾管理</w:t>
      </w:r>
    </w:p>
    <w:p>
      <w:pPr>
        <w:keepNext w:val="0"/>
        <w:keepLines w:val="0"/>
        <w:pageBreakBefore w:val="0"/>
        <w:widowControl w:val="0"/>
        <w:kinsoku/>
        <w:wordWrap/>
        <w:overflowPunct/>
        <w:topLinePunct w:val="0"/>
        <w:autoSpaceDE/>
        <w:autoSpaceDN/>
        <w:bidi w:val="0"/>
        <w:adjustRightInd/>
        <w:snapToGrid/>
        <w:spacing w:before="0" w:after="0" w:line="240" w:lineRule="auto"/>
        <w:ind w:left="632" w:leftChars="200" w:right="632" w:rightChars="200"/>
        <w:jc w:val="left"/>
        <w:textAlignment w:val="auto"/>
        <w:rPr>
          <w:rFonts w:eastAsia="仿宋"/>
        </w:rPr>
      </w:pPr>
      <w:r>
        <w:rPr>
          <w:rFonts w:ascii="楷体_GB2312" w:hAnsi="楷体_GB2312" w:eastAsia="楷体"/>
          <w:sz w:val="32"/>
        </w:rPr>
        <w:t>第五章　农业废弃物管理</w:t>
      </w:r>
    </w:p>
    <w:p>
      <w:pPr>
        <w:keepNext w:val="0"/>
        <w:keepLines w:val="0"/>
        <w:pageBreakBefore w:val="0"/>
        <w:widowControl w:val="0"/>
        <w:kinsoku/>
        <w:wordWrap/>
        <w:overflowPunct/>
        <w:topLinePunct w:val="0"/>
        <w:autoSpaceDE/>
        <w:autoSpaceDN/>
        <w:bidi w:val="0"/>
        <w:adjustRightInd/>
        <w:snapToGrid/>
        <w:spacing w:before="0" w:after="0" w:line="240" w:lineRule="auto"/>
        <w:ind w:left="632" w:leftChars="200" w:right="632" w:rightChars="200"/>
        <w:jc w:val="left"/>
        <w:textAlignment w:val="auto"/>
        <w:rPr>
          <w:rFonts w:eastAsia="仿宋"/>
        </w:rPr>
      </w:pPr>
      <w:r>
        <w:rPr>
          <w:rFonts w:ascii="楷体_GB2312" w:hAnsi="楷体_GB2312" w:eastAsia="楷体"/>
          <w:sz w:val="32"/>
        </w:rPr>
        <w:t>第六章　法律责任</w:t>
      </w:r>
    </w:p>
    <w:p>
      <w:pPr>
        <w:keepNext w:val="0"/>
        <w:keepLines w:val="0"/>
        <w:pageBreakBefore w:val="0"/>
        <w:widowControl w:val="0"/>
        <w:kinsoku/>
        <w:wordWrap/>
        <w:overflowPunct/>
        <w:topLinePunct w:val="0"/>
        <w:autoSpaceDE/>
        <w:autoSpaceDN/>
        <w:bidi w:val="0"/>
        <w:adjustRightInd/>
        <w:snapToGrid/>
        <w:spacing w:before="0" w:after="0" w:line="240" w:lineRule="auto"/>
        <w:ind w:left="632" w:leftChars="200" w:right="632" w:rightChars="200"/>
        <w:jc w:val="left"/>
        <w:textAlignment w:val="auto"/>
        <w:rPr>
          <w:rFonts w:eastAsia="仿宋"/>
        </w:rPr>
      </w:pPr>
      <w:r>
        <w:rPr>
          <w:rFonts w:ascii="楷体_GB2312" w:hAnsi="楷体_GB2312" w:eastAsia="楷体"/>
          <w:sz w:val="32"/>
        </w:rPr>
        <w:t>第七章　附　　则</w:t>
      </w:r>
    </w:p>
    <w:p>
      <w:pPr>
        <w:spacing w:after="0" w:line="240" w:lineRule="auto"/>
        <w:rPr>
          <w:rFonts w:eastAsia="仿宋"/>
        </w:rPr>
      </w:pPr>
      <w:r>
        <w:rPr>
          <w:rFonts w:ascii="宋体" w:hAnsi="宋体" w:eastAsia="宋体"/>
          <w:sz w:val="32"/>
        </w:rPr>
        <w:t>​</w:t>
      </w:r>
    </w:p>
    <w:p>
      <w:pPr>
        <w:spacing w:before="0" w:after="0" w:line="240" w:lineRule="auto"/>
        <w:jc w:val="center"/>
        <w:rPr>
          <w:rFonts w:eastAsia="仿宋"/>
        </w:rPr>
      </w:pPr>
      <w:r>
        <w:rPr>
          <w:rFonts w:eastAsia="黑体"/>
          <w:sz w:val="32"/>
        </w:rPr>
        <w:t>第一章　总　　则</w:t>
      </w:r>
    </w:p>
    <w:p>
      <w:pPr>
        <w:spacing w:after="0" w:line="240" w:lineRule="auto"/>
        <w:rPr>
          <w:rFonts w:eastAsia="仿宋"/>
        </w:rPr>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rPr>
          <w:rFonts w:eastAsia="仿宋"/>
        </w:rPr>
      </w:pPr>
      <w:r>
        <w:rPr>
          <w:rFonts w:ascii="黑体" w:hAnsi="黑体" w:eastAsia="黑体"/>
          <w:sz w:val="32"/>
        </w:rPr>
        <w:t>第一条</w:t>
      </w:r>
      <w:r>
        <w:rPr>
          <w:rFonts w:ascii="仿宋_GB2312" w:hAnsi="仿宋_GB2312" w:eastAsia="仿宋"/>
          <w:sz w:val="32"/>
        </w:rPr>
        <w:t>　为了促进乡村人居环境改善，激发乡村发展活力，建设宜居宜业和美乡村，推进乡村振兴，根据《中华人民共和国乡村振兴促进法》《江苏省乡村振兴促进条例》等法律、法规，结合本市实际，制定本条例。</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rPr>
          <w:rFonts w:eastAsia="仿宋"/>
        </w:rPr>
      </w:pPr>
      <w:r>
        <w:rPr>
          <w:rFonts w:ascii="黑体" w:hAnsi="黑体" w:eastAsia="黑体"/>
          <w:sz w:val="32"/>
        </w:rPr>
        <w:t>第二条</w:t>
      </w:r>
      <w:r>
        <w:rPr>
          <w:rFonts w:ascii="仿宋_GB2312" w:hAnsi="仿宋_GB2312" w:eastAsia="仿宋"/>
          <w:sz w:val="32"/>
        </w:rPr>
        <w:t>　本市行政区域内乡村人居环境改善活动，适用本条例。</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rPr>
          <w:rFonts w:eastAsia="仿宋"/>
        </w:rPr>
      </w:pPr>
      <w:r>
        <w:rPr>
          <w:rFonts w:ascii="仿宋_GB2312" w:hAnsi="仿宋_GB2312" w:eastAsia="仿宋"/>
          <w:sz w:val="32"/>
        </w:rPr>
        <w:t>本条例所称乡村，是指城市建成区以外具有自然、社会、经济特征和生产、生活、生态、文化等多重功能的地域综合体，包括乡镇和村庄等。</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rPr>
          <w:rFonts w:eastAsia="仿宋"/>
        </w:rPr>
      </w:pPr>
      <w:r>
        <w:rPr>
          <w:rFonts w:ascii="仿宋_GB2312" w:hAnsi="仿宋_GB2312" w:eastAsia="仿宋"/>
          <w:sz w:val="32"/>
        </w:rPr>
        <w:t>本条例所称乡村人居环境改善主要包括村容村貌提升、厕所改造、生活污水治理、生活垃圾管理和农业废弃物管理等内容。</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rPr>
          <w:rFonts w:eastAsia="仿宋"/>
        </w:rPr>
      </w:pPr>
      <w:r>
        <w:rPr>
          <w:rFonts w:ascii="黑体" w:hAnsi="黑体" w:eastAsia="黑体"/>
          <w:sz w:val="32"/>
        </w:rPr>
        <w:t>第三条</w:t>
      </w:r>
      <w:r>
        <w:rPr>
          <w:rFonts w:ascii="仿宋_GB2312" w:hAnsi="仿宋_GB2312" w:eastAsia="仿宋"/>
          <w:sz w:val="32"/>
        </w:rPr>
        <w:t>　乡村人居环境改善工作坚持政府主导、群众参与、因地制宜、建管并重的原则。</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rPr>
          <w:rFonts w:ascii="仿宋_GB2312" w:hAnsi="仿宋_GB2312" w:eastAsia="仿宋"/>
          <w:sz w:val="32"/>
          <w:szCs w:val="32"/>
        </w:rPr>
      </w:pPr>
      <w:r>
        <w:rPr>
          <w:rFonts w:ascii="黑体" w:hAnsi="黑体" w:eastAsia="黑体"/>
          <w:sz w:val="32"/>
        </w:rPr>
        <w:t>第四条</w:t>
      </w:r>
      <w:r>
        <w:rPr>
          <w:rFonts w:ascii="仿宋_GB2312" w:hAnsi="仿宋_GB2312" w:eastAsia="仿宋"/>
          <w:sz w:val="32"/>
        </w:rPr>
        <w:t>　</w:t>
      </w:r>
      <w:r>
        <w:rPr>
          <w:rFonts w:ascii="仿宋_GB2312" w:hAnsi="仿宋_GB2312" w:eastAsia="仿宋"/>
          <w:sz w:val="32"/>
          <w:szCs w:val="32"/>
        </w:rPr>
        <w:t>市、县（区）人民政府应当建立乡村人居环境改善工作统筹协调机制，研究解决乡村人居环境改善工作中的重大事项；建立财政投入、社会支持、群众参与等多元投入机制，为乡村人居环境改善提供资金保障；将乡村人居环境改善工作纳入实施乡村振兴年度考核内容，对在乡村人居环境改善工作中</w:t>
      </w:r>
      <w:r>
        <w:rPr>
          <w:rFonts w:hint="eastAsia" w:ascii="仿宋_GB2312" w:hAnsi="仿宋_GB2312" w:eastAsia="仿宋"/>
          <w:sz w:val="32"/>
          <w:szCs w:val="32"/>
          <w:lang w:eastAsia="zh-CN"/>
        </w:rPr>
        <w:t>做</w:t>
      </w:r>
      <w:r>
        <w:rPr>
          <w:rFonts w:ascii="仿宋_GB2312" w:hAnsi="仿宋_GB2312" w:eastAsia="仿宋"/>
          <w:sz w:val="32"/>
          <w:szCs w:val="32"/>
        </w:rPr>
        <w:t>出显著成绩的单位和个人</w:t>
      </w:r>
      <w:r>
        <w:rPr>
          <w:rFonts w:hint="eastAsia" w:ascii="仿宋_GB2312" w:hAnsi="仿宋_GB2312" w:eastAsia="仿宋"/>
          <w:sz w:val="32"/>
          <w:szCs w:val="32"/>
          <w:lang w:eastAsia="zh-CN"/>
        </w:rPr>
        <w:t>，</w:t>
      </w:r>
      <w:r>
        <w:rPr>
          <w:rFonts w:ascii="仿宋_GB2312" w:hAnsi="仿宋_GB2312" w:eastAsia="仿宋"/>
          <w:sz w:val="32"/>
          <w:szCs w:val="32"/>
        </w:rPr>
        <w:t>按照</w:t>
      </w:r>
      <w:r>
        <w:rPr>
          <w:rFonts w:hint="eastAsia" w:ascii="仿宋_GB2312" w:hAnsi="仿宋_GB2312" w:eastAsia="仿宋"/>
          <w:sz w:val="32"/>
          <w:szCs w:val="32"/>
          <w:lang w:eastAsia="zh-CN"/>
        </w:rPr>
        <w:t>国家和省</w:t>
      </w:r>
      <w:r>
        <w:rPr>
          <w:rFonts w:ascii="仿宋_GB2312" w:hAnsi="仿宋_GB2312" w:eastAsia="仿宋"/>
          <w:sz w:val="32"/>
          <w:szCs w:val="32"/>
        </w:rPr>
        <w:t>有关规定给予表彰</w:t>
      </w:r>
      <w:r>
        <w:rPr>
          <w:rFonts w:hint="eastAsia" w:ascii="仿宋_GB2312" w:hAnsi="仿宋_GB2312" w:eastAsia="仿宋"/>
          <w:sz w:val="32"/>
          <w:szCs w:val="32"/>
          <w:lang w:eastAsia="zh-CN"/>
        </w:rPr>
        <w:t>、</w:t>
      </w:r>
      <w:r>
        <w:rPr>
          <w:rFonts w:ascii="仿宋_GB2312" w:hAnsi="仿宋_GB2312" w:eastAsia="仿宋"/>
          <w:sz w:val="32"/>
          <w:szCs w:val="32"/>
        </w:rPr>
        <w:t>奖励。</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rPr>
          <w:rFonts w:eastAsia="仿宋"/>
        </w:rPr>
      </w:pPr>
      <w:r>
        <w:rPr>
          <w:rFonts w:ascii="仿宋_GB2312" w:hAnsi="仿宋_GB2312" w:eastAsia="仿宋"/>
          <w:sz w:val="32"/>
        </w:rPr>
        <w:t>镇人民政府、街道办事处负责乡村人居环境改善的具体实施工作。</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rPr>
          <w:rFonts w:eastAsia="仿宋"/>
        </w:rPr>
      </w:pPr>
      <w:r>
        <w:rPr>
          <w:rFonts w:ascii="黑体" w:hAnsi="黑体" w:eastAsia="黑体"/>
          <w:sz w:val="32"/>
        </w:rPr>
        <w:t>第五条</w:t>
      </w:r>
      <w:r>
        <w:rPr>
          <w:rFonts w:ascii="仿宋_GB2312" w:hAnsi="仿宋_GB2312" w:eastAsia="仿宋"/>
          <w:sz w:val="32"/>
        </w:rPr>
        <w:t>　农业农村部门是乡村人居环境改善工作的主管部门，负责乡村人居环境改善工作的综合协调、组织推动和监督管理工作。农业农村部门应当会同有关部门编制乡村人居环境改善工作方案，报本级人民政府批准后组织实施。</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rPr>
          <w:rFonts w:eastAsia="仿宋"/>
        </w:rPr>
      </w:pPr>
      <w:r>
        <w:rPr>
          <w:rFonts w:ascii="仿宋_GB2312" w:hAnsi="仿宋_GB2312" w:eastAsia="仿宋"/>
          <w:sz w:val="32"/>
        </w:rPr>
        <w:t>发展改革、教育、科技、财政、公安、自然资源和规划、生态环境、住房和城乡建设、城市管理、交通运输、水利、民政、文化广电和旅游、卫生健康、体育等有关部门，按照各自职责做好乡村人居环境改善工作。</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rPr>
          <w:rFonts w:eastAsia="仿宋"/>
        </w:rPr>
      </w:pPr>
      <w:r>
        <w:rPr>
          <w:rFonts w:ascii="黑体" w:hAnsi="黑体" w:eastAsia="黑体"/>
          <w:sz w:val="32"/>
        </w:rPr>
        <w:t>第六条</w:t>
      </w:r>
      <w:r>
        <w:rPr>
          <w:rFonts w:ascii="仿宋_GB2312" w:hAnsi="仿宋_GB2312" w:eastAsia="仿宋"/>
          <w:sz w:val="32"/>
        </w:rPr>
        <w:t>　村（居）民委员会可以广泛发动村（居）民积极参与乡村人居环境改善活动，推动通过制定村规民约规范村（居）民在乡村人居环境改善活动中的行为。</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rPr>
          <w:rFonts w:eastAsia="仿宋"/>
        </w:rPr>
      </w:pPr>
      <w:r>
        <w:rPr>
          <w:rFonts w:ascii="仿宋_GB2312" w:hAnsi="仿宋_GB2312" w:eastAsia="仿宋"/>
          <w:sz w:val="32"/>
        </w:rPr>
        <w:t>村（居）民委员会应当建立激励机制，通过积分兑换、星级评定等方式，倡导文明行为，提升村（居）民文明素质。</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rPr>
          <w:rFonts w:eastAsia="仿宋"/>
        </w:rPr>
      </w:pPr>
      <w:r>
        <w:rPr>
          <w:rFonts w:ascii="黑体" w:hAnsi="黑体" w:eastAsia="黑体"/>
          <w:sz w:val="32"/>
        </w:rPr>
        <w:t>第七条</w:t>
      </w:r>
      <w:r>
        <w:rPr>
          <w:rFonts w:ascii="仿宋_GB2312" w:hAnsi="仿宋_GB2312" w:eastAsia="仿宋"/>
          <w:sz w:val="32"/>
        </w:rPr>
        <w:t>　鼓励开展乡村人居环境改善科学技术研究，推广、应用先进技术，提高乡村人居环境质量。</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rPr>
          <w:rFonts w:eastAsia="仿宋"/>
        </w:rPr>
      </w:pPr>
      <w:r>
        <w:rPr>
          <w:rFonts w:ascii="仿宋_GB2312" w:hAnsi="仿宋_GB2312" w:eastAsia="仿宋"/>
          <w:sz w:val="32"/>
        </w:rPr>
        <w:t>建立和完善市、县（区）乡村人居环境改善工作专家库，鼓励和推动国土空间规划、建筑设计、环境治理等各类人才参与乡村人居环境改善活动。</w:t>
      </w:r>
    </w:p>
    <w:p>
      <w:pPr>
        <w:keepNext w:val="0"/>
        <w:keepLines w:val="0"/>
        <w:pageBreakBefore w:val="0"/>
        <w:widowControl w:val="0"/>
        <w:kinsoku/>
        <w:wordWrap/>
        <w:overflowPunct/>
        <w:topLinePunct w:val="0"/>
        <w:autoSpaceDE/>
        <w:autoSpaceDN/>
        <w:bidi w:val="0"/>
        <w:adjustRightInd/>
        <w:snapToGrid/>
        <w:spacing w:after="0" w:line="240" w:lineRule="auto"/>
        <w:ind w:firstLine="632" w:firstLineChars="200"/>
        <w:textAlignment w:val="auto"/>
        <w:rPr>
          <w:rFonts w:eastAsia="仿宋"/>
        </w:rPr>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spacing w:before="0" w:after="0" w:line="240" w:lineRule="auto"/>
        <w:jc w:val="center"/>
        <w:textAlignment w:val="auto"/>
        <w:rPr>
          <w:rFonts w:eastAsia="仿宋"/>
        </w:rPr>
      </w:pPr>
      <w:r>
        <w:rPr>
          <w:rFonts w:eastAsia="黑体"/>
          <w:sz w:val="32"/>
        </w:rPr>
        <w:t>第二章　村容村貌提升</w:t>
      </w:r>
    </w:p>
    <w:p>
      <w:pPr>
        <w:keepNext w:val="0"/>
        <w:keepLines w:val="0"/>
        <w:pageBreakBefore w:val="0"/>
        <w:widowControl w:val="0"/>
        <w:kinsoku/>
        <w:wordWrap/>
        <w:overflowPunct/>
        <w:topLinePunct w:val="0"/>
        <w:autoSpaceDE/>
        <w:autoSpaceDN/>
        <w:bidi w:val="0"/>
        <w:adjustRightInd/>
        <w:snapToGrid/>
        <w:spacing w:after="0" w:line="240" w:lineRule="auto"/>
        <w:ind w:firstLine="632" w:firstLineChars="200"/>
        <w:textAlignment w:val="auto"/>
        <w:rPr>
          <w:rFonts w:eastAsia="仿宋"/>
        </w:rPr>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rPr>
          <w:rFonts w:eastAsia="仿宋"/>
        </w:rPr>
      </w:pPr>
      <w:r>
        <w:rPr>
          <w:rFonts w:ascii="黑体" w:hAnsi="黑体" w:eastAsia="黑体"/>
          <w:sz w:val="32"/>
        </w:rPr>
        <w:t>第八条</w:t>
      </w:r>
      <w:r>
        <w:rPr>
          <w:rFonts w:ascii="仿宋_GB2312" w:hAnsi="仿宋_GB2312" w:eastAsia="仿宋"/>
          <w:sz w:val="32"/>
        </w:rPr>
        <w:t>　市、县（区）人民政府和镇人民政府、街道办事处应当依据乡村人居环境改善工作方案和村庄规划，加强乡村人居环境改善有关的基础设施、公共服务设施建设。</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rPr>
          <w:rFonts w:eastAsia="仿宋"/>
        </w:rPr>
      </w:pPr>
      <w:r>
        <w:rPr>
          <w:rFonts w:ascii="黑体" w:hAnsi="黑体" w:eastAsia="黑体"/>
          <w:sz w:val="32"/>
        </w:rPr>
        <w:t>第九条</w:t>
      </w:r>
      <w:r>
        <w:rPr>
          <w:rFonts w:ascii="仿宋_GB2312" w:hAnsi="仿宋_GB2312" w:eastAsia="仿宋"/>
          <w:sz w:val="32"/>
        </w:rPr>
        <w:t>　乡村人居环境改善基础设施和公共服务设施的所有权人可以自行管理或者委托有管理能力的他人管理。</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rPr>
          <w:rFonts w:eastAsia="仿宋"/>
        </w:rPr>
      </w:pPr>
      <w:r>
        <w:rPr>
          <w:rFonts w:ascii="仿宋_GB2312" w:hAnsi="仿宋_GB2312" w:eastAsia="仿宋"/>
          <w:sz w:val="32"/>
        </w:rPr>
        <w:t>乡村人居环境改善基础设施和公共服务设施的管理人应当建立健全管理制度，保障基础设施和公共服务设施正常使用。</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rPr>
          <w:rFonts w:eastAsia="仿宋"/>
        </w:rPr>
      </w:pPr>
      <w:r>
        <w:rPr>
          <w:rFonts w:ascii="黑体" w:hAnsi="黑体" w:eastAsia="黑体"/>
          <w:sz w:val="32"/>
        </w:rPr>
        <w:t>第十条</w:t>
      </w:r>
      <w:r>
        <w:rPr>
          <w:rFonts w:ascii="仿宋_GB2312" w:hAnsi="仿宋_GB2312" w:eastAsia="仿宋"/>
          <w:sz w:val="32"/>
        </w:rPr>
        <w:t>　村庄建设应当符合村庄规划，暂未完成村庄规划编制的，应当符合上级国土空间规划中用途管制规则和建设管控要求。县（区）住房和城乡建设部门应当向村民无偿提供适合本地实际的村民住房建设通用图集，并给予技术指导。</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rPr>
          <w:rFonts w:eastAsia="仿宋"/>
        </w:rPr>
      </w:pPr>
      <w:r>
        <w:rPr>
          <w:rFonts w:ascii="仿宋_GB2312" w:hAnsi="仿宋_GB2312" w:eastAsia="仿宋"/>
          <w:sz w:val="32"/>
        </w:rPr>
        <w:t>按照政府引导、村民自愿原则，县（区）人民政府应当集成资金资源，优化要素配置，积极改善村民居住条件。</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rPr>
          <w:rFonts w:eastAsia="仿宋"/>
        </w:rPr>
      </w:pPr>
      <w:r>
        <w:rPr>
          <w:rFonts w:ascii="仿宋_GB2312" w:hAnsi="仿宋_GB2312" w:eastAsia="仿宋"/>
          <w:sz w:val="32"/>
        </w:rPr>
        <w:t>村庄建设应当保护历史建筑、自然景观和人文风貌，彰显村庄特色。</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rPr>
          <w:rFonts w:eastAsia="仿宋"/>
        </w:rPr>
      </w:pPr>
      <w:r>
        <w:rPr>
          <w:rFonts w:ascii="黑体" w:hAnsi="黑体" w:eastAsia="黑体"/>
          <w:sz w:val="32"/>
        </w:rPr>
        <w:t>第十一条</w:t>
      </w:r>
      <w:r>
        <w:rPr>
          <w:rFonts w:ascii="仿宋_GB2312" w:hAnsi="仿宋_GB2312" w:eastAsia="仿宋"/>
          <w:sz w:val="32"/>
        </w:rPr>
        <w:t>　对传统村落和历史建筑保护应当科学规划、保护优先、合理利用，保持传统村落和历史建筑的真实性、完整性。</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rPr>
          <w:rFonts w:eastAsia="仿宋"/>
        </w:rPr>
      </w:pPr>
      <w:r>
        <w:rPr>
          <w:rFonts w:ascii="仿宋_GB2312" w:hAnsi="仿宋_GB2312" w:eastAsia="仿宋"/>
          <w:sz w:val="32"/>
        </w:rPr>
        <w:t>因地制宜推动传统村落小规模、渐进式有机更新，促进历史文化资源与地方文化建设、特色产业发展和乡村旅游相融合，传承优秀乡土文化。</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rPr>
          <w:rFonts w:eastAsia="仿宋"/>
        </w:rPr>
      </w:pPr>
      <w:r>
        <w:rPr>
          <w:rFonts w:ascii="黑体" w:hAnsi="黑体" w:eastAsia="黑体"/>
          <w:sz w:val="32"/>
        </w:rPr>
        <w:t>第十二条</w:t>
      </w:r>
      <w:r>
        <w:rPr>
          <w:rFonts w:ascii="仿宋_GB2312" w:hAnsi="仿宋_GB2312" w:eastAsia="仿宋"/>
          <w:sz w:val="32"/>
        </w:rPr>
        <w:t>　县（区）人民政府应当组织开展农村电力线、通信线、广播电视线等维护梳理工作，推动线路违规搭挂治理，清理废弃杆线、基站。</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rPr>
          <w:rFonts w:eastAsia="仿宋"/>
        </w:rPr>
      </w:pPr>
      <w:r>
        <w:rPr>
          <w:rFonts w:ascii="黑体" w:hAnsi="黑体" w:eastAsia="黑体"/>
          <w:sz w:val="32"/>
        </w:rPr>
        <w:t>第十三条</w:t>
      </w:r>
      <w:r>
        <w:rPr>
          <w:rFonts w:ascii="仿宋_GB2312" w:hAnsi="仿宋_GB2312" w:eastAsia="仿宋"/>
          <w:sz w:val="32"/>
        </w:rPr>
        <w:t>　各级人民政府应当采取控源截污、清淤疏浚、水系连通、生态修复、水体净化等措施恢复乡村水生态，改善乡村水生态环境质量。</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rPr>
          <w:rFonts w:eastAsia="仿宋"/>
        </w:rPr>
      </w:pPr>
      <w:r>
        <w:rPr>
          <w:rFonts w:ascii="黑体" w:hAnsi="黑体" w:eastAsia="黑体"/>
          <w:sz w:val="32"/>
        </w:rPr>
        <w:t>第十四条</w:t>
      </w:r>
      <w:r>
        <w:rPr>
          <w:rFonts w:ascii="仿宋_GB2312" w:hAnsi="仿宋_GB2312" w:eastAsia="仿宋"/>
          <w:sz w:val="32"/>
        </w:rPr>
        <w:t>　镇人民政府、街道办事处和村（居）民委员会应当按照规划保障公共绿地用地，保护古树名木，鼓励和组织村（居）民选用乡土树种、林木良种等开展村庄绿化美化活动，引导形成兼具生产性和观赏性的特色乡村景观。</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rPr>
          <w:rFonts w:eastAsia="仿宋"/>
        </w:rPr>
      </w:pPr>
      <w:r>
        <w:rPr>
          <w:rFonts w:ascii="黑体" w:hAnsi="黑体" w:eastAsia="黑体"/>
          <w:sz w:val="32"/>
        </w:rPr>
        <w:t>第十五条</w:t>
      </w:r>
      <w:r>
        <w:rPr>
          <w:rFonts w:ascii="仿宋_GB2312" w:hAnsi="仿宋_GB2312" w:eastAsia="仿宋"/>
          <w:sz w:val="32"/>
        </w:rPr>
        <w:t>　村（居）民委员会可以推动下列内容纳入村规民约：</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rPr>
          <w:rFonts w:eastAsia="仿宋"/>
        </w:rPr>
      </w:pPr>
      <w:r>
        <w:rPr>
          <w:rFonts w:ascii="仿宋_GB2312" w:hAnsi="仿宋_GB2312" w:eastAsia="仿宋"/>
          <w:sz w:val="32"/>
        </w:rPr>
        <w:t>（一）自家庭院、房前屋后清洁卫生的行为规范；</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rPr>
          <w:rFonts w:eastAsia="仿宋"/>
        </w:rPr>
      </w:pPr>
      <w:r>
        <w:rPr>
          <w:rFonts w:ascii="仿宋_GB2312" w:hAnsi="仿宋_GB2312" w:eastAsia="仿宋"/>
          <w:sz w:val="32"/>
        </w:rPr>
        <w:t>（二）生产垃圾、生活垃圾、生活污水和废弃物的处理以及秸秆禁烧和利用的行为规范；</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rPr>
          <w:rFonts w:eastAsia="仿宋"/>
        </w:rPr>
      </w:pPr>
      <w:r>
        <w:rPr>
          <w:rFonts w:ascii="仿宋_GB2312" w:hAnsi="仿宋_GB2312" w:eastAsia="仿宋"/>
          <w:sz w:val="32"/>
        </w:rPr>
        <w:t>（三）公共环境卫生的行为规范；</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rPr>
          <w:rFonts w:eastAsia="仿宋"/>
        </w:rPr>
      </w:pPr>
      <w:r>
        <w:rPr>
          <w:rFonts w:ascii="仿宋_GB2312" w:hAnsi="仿宋_GB2312" w:eastAsia="仿宋"/>
          <w:sz w:val="32"/>
        </w:rPr>
        <w:t>（四）法律、法规规定以外的公序良俗方面的行为规范；</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rPr>
          <w:rFonts w:eastAsia="仿宋"/>
        </w:rPr>
      </w:pPr>
      <w:r>
        <w:rPr>
          <w:rFonts w:ascii="仿宋_GB2312" w:hAnsi="仿宋_GB2312" w:eastAsia="仿宋"/>
          <w:sz w:val="32"/>
        </w:rPr>
        <w:t>（五）维护村容村貌的表扬激励措施；</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rPr>
          <w:rFonts w:eastAsia="仿宋"/>
        </w:rPr>
      </w:pPr>
      <w:r>
        <w:rPr>
          <w:rFonts w:ascii="仿宋_GB2312" w:hAnsi="仿宋_GB2312" w:eastAsia="仿宋"/>
          <w:sz w:val="32"/>
        </w:rPr>
        <w:t>（六）损害村容村貌的惩戒措施。</w:t>
      </w:r>
    </w:p>
    <w:p>
      <w:pPr>
        <w:keepNext w:val="0"/>
        <w:keepLines w:val="0"/>
        <w:pageBreakBefore w:val="0"/>
        <w:widowControl w:val="0"/>
        <w:kinsoku/>
        <w:wordWrap/>
        <w:overflowPunct/>
        <w:topLinePunct w:val="0"/>
        <w:autoSpaceDE/>
        <w:autoSpaceDN/>
        <w:bidi w:val="0"/>
        <w:adjustRightInd/>
        <w:snapToGrid/>
        <w:spacing w:after="0" w:line="240" w:lineRule="auto"/>
        <w:ind w:firstLine="632" w:firstLineChars="200"/>
        <w:textAlignment w:val="auto"/>
        <w:rPr>
          <w:rFonts w:eastAsia="仿宋"/>
        </w:rPr>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spacing w:before="0" w:after="0" w:line="240" w:lineRule="auto"/>
        <w:jc w:val="center"/>
        <w:textAlignment w:val="auto"/>
        <w:rPr>
          <w:rFonts w:eastAsia="仿宋"/>
        </w:rPr>
      </w:pPr>
      <w:r>
        <w:rPr>
          <w:rFonts w:eastAsia="黑体"/>
          <w:sz w:val="32"/>
        </w:rPr>
        <w:t>第三章　厕所改造和生活污水治理</w:t>
      </w:r>
    </w:p>
    <w:p>
      <w:pPr>
        <w:keepNext w:val="0"/>
        <w:keepLines w:val="0"/>
        <w:pageBreakBefore w:val="0"/>
        <w:widowControl w:val="0"/>
        <w:kinsoku/>
        <w:wordWrap/>
        <w:overflowPunct/>
        <w:topLinePunct w:val="0"/>
        <w:autoSpaceDE/>
        <w:autoSpaceDN/>
        <w:bidi w:val="0"/>
        <w:adjustRightInd/>
        <w:snapToGrid/>
        <w:spacing w:after="0" w:line="240" w:lineRule="auto"/>
        <w:ind w:firstLine="632" w:firstLineChars="200"/>
        <w:textAlignment w:val="auto"/>
        <w:rPr>
          <w:rFonts w:eastAsia="仿宋"/>
        </w:rPr>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rPr>
          <w:rFonts w:eastAsia="仿宋"/>
        </w:rPr>
      </w:pPr>
      <w:r>
        <w:rPr>
          <w:rFonts w:ascii="黑体" w:hAnsi="黑体" w:eastAsia="黑体"/>
          <w:sz w:val="32"/>
        </w:rPr>
        <w:t>第十六条</w:t>
      </w:r>
      <w:r>
        <w:rPr>
          <w:rFonts w:ascii="仿宋_GB2312" w:hAnsi="仿宋_GB2312" w:eastAsia="仿宋"/>
          <w:sz w:val="32"/>
        </w:rPr>
        <w:t>　农业农村、城市管理、文化广电和旅游部门按照各自职责推动、指导和考核农村户用卫生厕所、公共厕所、旅游厕所的改造和建设工作。</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rPr>
          <w:rFonts w:eastAsia="仿宋"/>
        </w:rPr>
      </w:pPr>
      <w:r>
        <w:rPr>
          <w:rFonts w:ascii="仿宋_GB2312" w:hAnsi="仿宋_GB2312" w:eastAsia="仿宋"/>
          <w:sz w:val="32"/>
        </w:rPr>
        <w:t>生态环境部门负责推动、指导和考核农村生活污水治理工作。</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rPr>
          <w:rFonts w:eastAsia="仿宋"/>
        </w:rPr>
      </w:pPr>
      <w:r>
        <w:rPr>
          <w:rFonts w:ascii="仿宋_GB2312" w:hAnsi="仿宋_GB2312" w:eastAsia="仿宋"/>
          <w:sz w:val="32"/>
        </w:rPr>
        <w:t>住房和城乡建设部门负责推动、指导和考核镇生活污水处理设施的建设和管理工作。</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rPr>
          <w:rFonts w:eastAsia="仿宋"/>
        </w:rPr>
      </w:pPr>
      <w:r>
        <w:rPr>
          <w:rFonts w:ascii="黑体" w:hAnsi="黑体" w:eastAsia="黑体"/>
          <w:sz w:val="32"/>
        </w:rPr>
        <w:t>第十七条</w:t>
      </w:r>
      <w:r>
        <w:rPr>
          <w:rFonts w:ascii="仿宋_GB2312" w:hAnsi="仿宋_GB2312" w:eastAsia="仿宋"/>
          <w:sz w:val="32"/>
        </w:rPr>
        <w:t>　户用卫生厕所改造和建设应当科学选择技术模式，严格执行标准，引导村（居）民将户用卫生厕所进院入室。</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rPr>
          <w:rFonts w:eastAsia="仿宋"/>
        </w:rPr>
      </w:pPr>
      <w:r>
        <w:rPr>
          <w:rFonts w:ascii="仿宋_GB2312" w:hAnsi="仿宋_GB2312" w:eastAsia="仿宋"/>
          <w:sz w:val="32"/>
        </w:rPr>
        <w:t>新建农房应当配套设计建设户用卫生厕所以及集中粪污处理设施。</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rPr>
          <w:rFonts w:eastAsia="仿宋"/>
        </w:rPr>
      </w:pPr>
      <w:r>
        <w:rPr>
          <w:rFonts w:ascii="黑体" w:hAnsi="黑体" w:eastAsia="黑体"/>
          <w:sz w:val="32"/>
        </w:rPr>
        <w:t>第十八条</w:t>
      </w:r>
      <w:r>
        <w:rPr>
          <w:rFonts w:ascii="仿宋_GB2312" w:hAnsi="仿宋_GB2312" w:eastAsia="仿宋"/>
          <w:sz w:val="32"/>
        </w:rPr>
        <w:t>　城市管理部门应当指导镇、街道合理规划建设农村公共厕所，推动、指导镇、街道做好厕所保洁、粪污清运和设施维护等工作。</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rPr>
          <w:rFonts w:eastAsia="仿宋"/>
        </w:rPr>
      </w:pPr>
      <w:r>
        <w:rPr>
          <w:rFonts w:ascii="仿宋_GB2312" w:hAnsi="仿宋_GB2312" w:eastAsia="仿宋"/>
          <w:sz w:val="32"/>
        </w:rPr>
        <w:t>鼓励机关、社会团体、企业事业单位向社会免费开放厕所。</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rPr>
          <w:rFonts w:eastAsia="仿宋"/>
        </w:rPr>
      </w:pPr>
      <w:r>
        <w:rPr>
          <w:rFonts w:ascii="黑体" w:hAnsi="黑体" w:eastAsia="黑体"/>
          <w:sz w:val="32"/>
        </w:rPr>
        <w:t>第十九条</w:t>
      </w:r>
      <w:r>
        <w:rPr>
          <w:rFonts w:ascii="仿宋_GB2312" w:hAnsi="仿宋_GB2312" w:eastAsia="仿宋"/>
          <w:sz w:val="32"/>
        </w:rPr>
        <w:t>　县（区）人民政府应当根据乡村的人口密度、自然环境、污水产生规模，科学确定农村生活污水处理模式，鼓励支持应用新技术、新工艺处理生活污水。</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rPr>
          <w:rFonts w:eastAsia="仿宋"/>
        </w:rPr>
      </w:pPr>
      <w:r>
        <w:rPr>
          <w:rFonts w:ascii="仿宋_GB2312" w:hAnsi="仿宋_GB2312" w:eastAsia="仿宋"/>
          <w:sz w:val="32"/>
        </w:rPr>
        <w:t>距离城镇污水管网较近的村庄，污水就近接入城镇污水收集处理设施；距离城镇污水管网较远的规划保留村庄，逐步建设生活污水集中处理设施。</w:t>
      </w:r>
    </w:p>
    <w:p>
      <w:pPr>
        <w:keepNext w:val="0"/>
        <w:keepLines w:val="0"/>
        <w:pageBreakBefore w:val="0"/>
        <w:widowControl w:val="0"/>
        <w:kinsoku/>
        <w:wordWrap/>
        <w:overflowPunct/>
        <w:topLinePunct w:val="0"/>
        <w:autoSpaceDE/>
        <w:autoSpaceDN/>
        <w:bidi w:val="0"/>
        <w:adjustRightInd/>
        <w:snapToGrid/>
        <w:spacing w:after="0" w:line="240" w:lineRule="auto"/>
        <w:ind w:firstLine="632" w:firstLineChars="200"/>
        <w:textAlignment w:val="auto"/>
        <w:rPr>
          <w:rFonts w:eastAsia="仿宋"/>
        </w:rPr>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spacing w:before="0" w:after="0" w:line="240" w:lineRule="auto"/>
        <w:jc w:val="center"/>
        <w:textAlignment w:val="auto"/>
        <w:rPr>
          <w:rFonts w:eastAsia="仿宋"/>
        </w:rPr>
      </w:pPr>
      <w:r>
        <w:rPr>
          <w:rFonts w:eastAsia="黑体"/>
          <w:sz w:val="32"/>
        </w:rPr>
        <w:t>第四章　生活垃圾管理</w:t>
      </w:r>
    </w:p>
    <w:p>
      <w:pPr>
        <w:keepNext w:val="0"/>
        <w:keepLines w:val="0"/>
        <w:pageBreakBefore w:val="0"/>
        <w:widowControl w:val="0"/>
        <w:kinsoku/>
        <w:wordWrap/>
        <w:overflowPunct/>
        <w:topLinePunct w:val="0"/>
        <w:autoSpaceDE/>
        <w:autoSpaceDN/>
        <w:bidi w:val="0"/>
        <w:adjustRightInd/>
        <w:snapToGrid/>
        <w:spacing w:after="0" w:line="240" w:lineRule="auto"/>
        <w:ind w:firstLine="632" w:firstLineChars="200"/>
        <w:textAlignment w:val="auto"/>
        <w:rPr>
          <w:rFonts w:eastAsia="仿宋"/>
        </w:rPr>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rPr>
          <w:rFonts w:eastAsia="仿宋"/>
        </w:rPr>
      </w:pPr>
      <w:r>
        <w:rPr>
          <w:rFonts w:ascii="黑体" w:hAnsi="黑体" w:eastAsia="黑体"/>
          <w:sz w:val="32"/>
        </w:rPr>
        <w:t>第二十条</w:t>
      </w:r>
      <w:r>
        <w:rPr>
          <w:rFonts w:ascii="仿宋_GB2312" w:hAnsi="仿宋_GB2312" w:eastAsia="仿宋"/>
          <w:sz w:val="32"/>
        </w:rPr>
        <w:t>　县（区）人民政府应当建立健全定点投放、定时收集、规范转运、集中处置的生活垃圾收运处置体系。</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rPr>
          <w:rFonts w:eastAsia="仿宋"/>
        </w:rPr>
      </w:pPr>
      <w:r>
        <w:rPr>
          <w:rFonts w:ascii="仿宋_GB2312" w:hAnsi="仿宋_GB2312" w:eastAsia="仿宋"/>
          <w:sz w:val="32"/>
        </w:rPr>
        <w:t>县（区）人民政府应当统筹建设和改造农村生活垃圾收集点与转运站、大件垃圾暂存点、可回收物回收设施、有害垃圾集中投放设施。农村生活垃圾收运处置设施应当按照有关标准建设，完善防雨、防漏、防渗措施。</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rPr>
          <w:rFonts w:eastAsia="仿宋"/>
        </w:rPr>
      </w:pPr>
      <w:r>
        <w:rPr>
          <w:rFonts w:ascii="黑体" w:hAnsi="黑体" w:eastAsia="黑体"/>
          <w:sz w:val="32"/>
        </w:rPr>
        <w:t>第二十一条</w:t>
      </w:r>
      <w:r>
        <w:rPr>
          <w:rFonts w:ascii="仿宋_GB2312" w:hAnsi="仿宋_GB2312" w:eastAsia="仿宋"/>
          <w:sz w:val="32"/>
        </w:rPr>
        <w:t>　城市管理部门负责农村生活垃圾管理工作业务指导和督查考核，负责推进城乡环卫一体化，开展农村生活垃圾分类和资源化利用工作，会同有关部门加强对城区垃圾违法违规向农村地区转移的监督管理工作。</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rPr>
          <w:rFonts w:eastAsia="仿宋"/>
        </w:rPr>
      </w:pPr>
      <w:r>
        <w:rPr>
          <w:rFonts w:ascii="黑体" w:hAnsi="黑体" w:eastAsia="黑体"/>
          <w:sz w:val="32"/>
        </w:rPr>
        <w:t>第二十二条</w:t>
      </w:r>
      <w:r>
        <w:rPr>
          <w:rFonts w:ascii="仿宋_GB2312" w:hAnsi="仿宋_GB2312" w:eastAsia="仿宋"/>
          <w:sz w:val="32"/>
        </w:rPr>
        <w:t>　乡村生活垃圾管理实行责任区责任人制度。责任区责任人有约定的，从其约定；没有约定的，按照下列规定确定：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rPr>
          <w:rFonts w:eastAsia="仿宋"/>
        </w:rPr>
      </w:pPr>
      <w:r>
        <w:rPr>
          <w:rFonts w:ascii="仿宋_GB2312" w:hAnsi="仿宋_GB2312" w:eastAsia="仿宋"/>
          <w:sz w:val="32"/>
        </w:rPr>
        <w:t>（一）实行物业管理的村（居）民住宅小区的生活垃圾管理，物业服务人为责任人；</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rPr>
          <w:rFonts w:eastAsia="仿宋"/>
        </w:rPr>
      </w:pPr>
      <w:r>
        <w:rPr>
          <w:rFonts w:ascii="仿宋_GB2312" w:hAnsi="仿宋_GB2312" w:eastAsia="仿宋"/>
          <w:sz w:val="32"/>
        </w:rPr>
        <w:t>（二）村庄内的道路、河道、沟渠、文化广场等公共区域的生活垃圾管理，村（居）民委员会为责任人；</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rPr>
          <w:rFonts w:eastAsia="仿宋"/>
        </w:rPr>
      </w:pPr>
      <w:r>
        <w:rPr>
          <w:rFonts w:ascii="仿宋_GB2312" w:hAnsi="仿宋_GB2312" w:eastAsia="仿宋"/>
          <w:sz w:val="32"/>
        </w:rPr>
        <w:t>（三）机关、社会团体、企业事业单位及其他组织办公场所的生活垃圾管理，其单位为责任人。</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rPr>
          <w:rFonts w:eastAsia="仿宋"/>
        </w:rPr>
      </w:pPr>
      <w:r>
        <w:rPr>
          <w:rFonts w:ascii="仿宋_GB2312" w:hAnsi="仿宋_GB2312" w:eastAsia="仿宋"/>
          <w:sz w:val="32"/>
        </w:rPr>
        <w:t>不能按照前款规定确定责任区责任人的，由所在地镇人民政府、街道办事处确定。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rPr>
          <w:rFonts w:eastAsia="仿宋"/>
        </w:rPr>
      </w:pPr>
      <w:r>
        <w:rPr>
          <w:rFonts w:ascii="仿宋_GB2312" w:hAnsi="仿宋_GB2312" w:eastAsia="仿宋"/>
          <w:sz w:val="32"/>
        </w:rPr>
        <w:t>责任人负责责任区内生活垃圾的清扫和投放管理，保持责任区内干净整洁。</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rPr>
          <w:rFonts w:eastAsia="仿宋"/>
        </w:rPr>
      </w:pPr>
      <w:r>
        <w:rPr>
          <w:rFonts w:ascii="仿宋_GB2312" w:hAnsi="仿宋_GB2312" w:eastAsia="仿宋"/>
          <w:sz w:val="32"/>
        </w:rPr>
        <w:t>镇人民政府、街道办事处应当与村（居）民委员会签订生活垃圾管理责任书，明确管理责任；推动村（居）民委员会与村（居）民或者其他责任人签订生活垃圾管理责任书，明确管理责任。</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rPr>
          <w:rFonts w:eastAsia="仿宋"/>
        </w:rPr>
      </w:pPr>
      <w:r>
        <w:rPr>
          <w:rFonts w:ascii="黑体" w:hAnsi="黑体" w:eastAsia="黑体"/>
          <w:sz w:val="32"/>
        </w:rPr>
        <w:t>第二十三条</w:t>
      </w:r>
      <w:r>
        <w:rPr>
          <w:rFonts w:ascii="仿宋_GB2312" w:hAnsi="仿宋_GB2312" w:eastAsia="仿宋"/>
          <w:sz w:val="32"/>
        </w:rPr>
        <w:t>　城市管理部门应当指导督促农村生活垃圾源头减量、分类投放，推行符合农村特点、简便易行的分类投放、有机垃圾生态处理模式。</w:t>
      </w:r>
    </w:p>
    <w:p>
      <w:pPr>
        <w:keepNext w:val="0"/>
        <w:keepLines w:val="0"/>
        <w:pageBreakBefore w:val="0"/>
        <w:widowControl w:val="0"/>
        <w:kinsoku/>
        <w:wordWrap/>
        <w:overflowPunct/>
        <w:topLinePunct w:val="0"/>
        <w:autoSpaceDE/>
        <w:autoSpaceDN/>
        <w:bidi w:val="0"/>
        <w:adjustRightInd/>
        <w:snapToGrid/>
        <w:spacing w:after="0" w:line="240" w:lineRule="auto"/>
        <w:ind w:firstLine="632" w:firstLineChars="200"/>
        <w:textAlignment w:val="auto"/>
        <w:rPr>
          <w:rFonts w:eastAsia="仿宋"/>
        </w:rPr>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spacing w:before="0" w:after="0" w:line="240" w:lineRule="auto"/>
        <w:jc w:val="center"/>
        <w:textAlignment w:val="auto"/>
        <w:rPr>
          <w:rFonts w:eastAsia="仿宋"/>
        </w:rPr>
      </w:pPr>
      <w:r>
        <w:rPr>
          <w:rFonts w:eastAsia="黑体"/>
          <w:sz w:val="32"/>
        </w:rPr>
        <w:t>第五章　农业废弃物管理</w:t>
      </w:r>
    </w:p>
    <w:p>
      <w:pPr>
        <w:keepNext w:val="0"/>
        <w:keepLines w:val="0"/>
        <w:pageBreakBefore w:val="0"/>
        <w:widowControl w:val="0"/>
        <w:kinsoku/>
        <w:wordWrap/>
        <w:overflowPunct/>
        <w:topLinePunct w:val="0"/>
        <w:autoSpaceDE/>
        <w:autoSpaceDN/>
        <w:bidi w:val="0"/>
        <w:adjustRightInd/>
        <w:snapToGrid/>
        <w:spacing w:after="0" w:line="240" w:lineRule="auto"/>
        <w:ind w:firstLine="632" w:firstLineChars="200"/>
        <w:textAlignment w:val="auto"/>
        <w:rPr>
          <w:rFonts w:eastAsia="仿宋"/>
        </w:rPr>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rPr>
          <w:rFonts w:eastAsia="仿宋"/>
        </w:rPr>
      </w:pPr>
      <w:r>
        <w:rPr>
          <w:rFonts w:ascii="黑体" w:hAnsi="黑体" w:eastAsia="黑体"/>
          <w:sz w:val="32"/>
        </w:rPr>
        <w:t>第二十四条</w:t>
      </w:r>
      <w:r>
        <w:rPr>
          <w:rFonts w:ascii="仿宋_GB2312" w:hAnsi="仿宋_GB2312" w:eastAsia="仿宋"/>
          <w:sz w:val="32"/>
        </w:rPr>
        <w:t>　农业农村部门负责农业废弃物的监督管理工作。生态环境部门会同农业农村等部门做好农业废弃物面源污染防治工作。</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rPr>
          <w:rFonts w:eastAsia="仿宋"/>
        </w:rPr>
      </w:pPr>
      <w:r>
        <w:rPr>
          <w:rFonts w:ascii="仿宋_GB2312" w:hAnsi="仿宋_GB2312" w:eastAsia="仿宋"/>
          <w:sz w:val="32"/>
        </w:rPr>
        <w:t>本条例所称农业废弃物主要包括废旧农用薄膜、农药包装废弃物、农作物秸秆、畜禽粪污等。</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rPr>
          <w:rFonts w:eastAsia="仿宋"/>
        </w:rPr>
      </w:pPr>
      <w:r>
        <w:rPr>
          <w:rFonts w:ascii="黑体" w:hAnsi="黑体" w:eastAsia="黑体"/>
          <w:sz w:val="32"/>
        </w:rPr>
        <w:t>第二十五条</w:t>
      </w:r>
      <w:r>
        <w:rPr>
          <w:rFonts w:ascii="仿宋_GB2312" w:hAnsi="仿宋_GB2312" w:eastAsia="仿宋"/>
          <w:sz w:val="32"/>
        </w:rPr>
        <w:t>　农业农村部门负责农用薄膜使用、回收监督管理工作，指导农用薄膜回收利用体系建设。</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rPr>
          <w:rFonts w:eastAsia="仿宋"/>
        </w:rPr>
      </w:pPr>
      <w:r>
        <w:rPr>
          <w:rFonts w:ascii="仿宋_GB2312" w:hAnsi="仿宋_GB2312" w:eastAsia="仿宋"/>
          <w:sz w:val="32"/>
        </w:rPr>
        <w:t>工业和信息化、市场监督管理、生态环境等部门根据各自职责负责农用薄膜生产指导、产品质量监督管理、回收再利用过程环境污染防治等监督管理工作。</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rPr>
          <w:rFonts w:eastAsia="仿宋"/>
        </w:rPr>
      </w:pPr>
      <w:r>
        <w:rPr>
          <w:rFonts w:ascii="黑体" w:hAnsi="黑体" w:eastAsia="黑体"/>
          <w:sz w:val="32"/>
        </w:rPr>
        <w:t>第二十六条</w:t>
      </w:r>
      <w:r>
        <w:rPr>
          <w:rFonts w:ascii="仿宋_GB2312" w:hAnsi="仿宋_GB2312" w:eastAsia="仿宋"/>
          <w:sz w:val="32"/>
        </w:rPr>
        <w:t>　禁止生产、销售、使用国家明令禁止或者不符合强制性国家标准的农用薄膜。鼓励和支持生产、使用全生物降解农用薄膜。</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rPr>
          <w:rFonts w:eastAsia="仿宋"/>
        </w:rPr>
      </w:pPr>
      <w:r>
        <w:rPr>
          <w:rFonts w:ascii="仿宋_GB2312" w:hAnsi="仿宋_GB2312" w:eastAsia="仿宋"/>
          <w:sz w:val="32"/>
        </w:rPr>
        <w:t>农用薄膜生产者、销售者和使用者应当及时回收废旧农用薄膜，并将其交由专门的机构或者组织处理。</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rPr>
          <w:rFonts w:eastAsia="仿宋"/>
        </w:rPr>
      </w:pPr>
      <w:r>
        <w:rPr>
          <w:rFonts w:ascii="仿宋_GB2312" w:hAnsi="仿宋_GB2312" w:eastAsia="仿宋"/>
          <w:sz w:val="32"/>
        </w:rPr>
        <w:t>农用薄膜回收网点和回收再利用企业应当依法建立回收台账，如实记录废旧农用薄膜的重量、体积、杂质、缴膜人名称及其联系方式、回收时间等内容。回收台账应当至少保存二年。</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rPr>
          <w:rFonts w:eastAsia="仿宋"/>
        </w:rPr>
      </w:pPr>
      <w:r>
        <w:rPr>
          <w:rFonts w:ascii="黑体" w:hAnsi="黑体" w:eastAsia="黑体"/>
          <w:sz w:val="32"/>
        </w:rPr>
        <w:t>第二十七条</w:t>
      </w:r>
      <w:r>
        <w:rPr>
          <w:rFonts w:ascii="仿宋_GB2312" w:hAnsi="仿宋_GB2312" w:eastAsia="仿宋"/>
          <w:sz w:val="32"/>
        </w:rPr>
        <w:t>　农业农村部门负责农药生产者、经营者、使用者履行农药包装废弃物回收处理义务的监督管理工作，负责调查监测农药包装废弃物产生情况，指导建立农药包装废弃物回收体系，合理设置县（区）、镇（街）、村农药包装废弃物回收站（点），明确管理责任。</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rPr>
          <w:rFonts w:eastAsia="仿宋"/>
        </w:rPr>
      </w:pPr>
      <w:r>
        <w:rPr>
          <w:rFonts w:ascii="黑体" w:hAnsi="黑体" w:eastAsia="黑体"/>
          <w:sz w:val="32"/>
        </w:rPr>
        <w:t>第二十八条</w:t>
      </w:r>
      <w:r>
        <w:rPr>
          <w:rFonts w:ascii="仿宋_GB2312" w:hAnsi="仿宋_GB2312" w:eastAsia="仿宋"/>
          <w:sz w:val="32"/>
        </w:rPr>
        <w:t>　农药生产者、销售者和使用者应当及时回收农药包装废弃物，并将其交由专门的机构或者组织进行无害化处理。</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rPr>
          <w:rFonts w:eastAsia="仿宋"/>
        </w:rPr>
      </w:pPr>
      <w:r>
        <w:rPr>
          <w:rFonts w:ascii="仿宋_GB2312" w:hAnsi="仿宋_GB2312" w:eastAsia="仿宋"/>
          <w:sz w:val="32"/>
        </w:rPr>
        <w:t>农药销售者应当在其经营场所设立农药包装废弃物回收装置，不得拒收其销售农药的包装废弃物。</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rPr>
          <w:rFonts w:eastAsia="仿宋"/>
        </w:rPr>
      </w:pPr>
      <w:r>
        <w:rPr>
          <w:rFonts w:ascii="仿宋_GB2312" w:hAnsi="仿宋_GB2312" w:eastAsia="仿宋"/>
          <w:sz w:val="32"/>
        </w:rPr>
        <w:t>农药销售者和农药包装废弃物回收站（点）应当建立农药包装废弃物回收台账，记录农药包装废弃物的数量和去向信息。回收台账应当保存二年以上。</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rPr>
          <w:rFonts w:eastAsia="仿宋"/>
          <w:sz w:val="32"/>
          <w:szCs w:val="32"/>
        </w:rPr>
      </w:pPr>
      <w:r>
        <w:rPr>
          <w:rFonts w:ascii="黑体" w:hAnsi="黑体" w:eastAsia="黑体"/>
          <w:sz w:val="32"/>
        </w:rPr>
        <w:t>第二十九条</w:t>
      </w:r>
      <w:r>
        <w:rPr>
          <w:rFonts w:ascii="仿宋_GB2312" w:hAnsi="仿宋_GB2312" w:eastAsia="仿宋"/>
          <w:sz w:val="32"/>
        </w:rPr>
        <w:t>　农业农村部门应当指导并统筹安排秸秆机械化</w:t>
      </w:r>
      <w:r>
        <w:rPr>
          <w:rFonts w:ascii="仿宋_GB2312" w:hAnsi="仿宋_GB2312" w:eastAsia="仿宋"/>
          <w:sz w:val="32"/>
          <w:szCs w:val="32"/>
        </w:rPr>
        <w:t>还田和离田收储利用工作。</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rPr>
          <w:rFonts w:eastAsia="仿宋"/>
          <w:sz w:val="32"/>
          <w:szCs w:val="32"/>
        </w:rPr>
      </w:pPr>
      <w:r>
        <w:rPr>
          <w:rFonts w:hint="eastAsia" w:ascii="Times New Roman" w:hAnsi="Times New Roman" w:eastAsia="仿宋" w:cs="Times New Roman"/>
          <w:sz w:val="32"/>
          <w:szCs w:val="32"/>
          <w:lang w:val="en-US" w:eastAsia="zh-CN"/>
        </w:rPr>
        <w:t>镇人民政府、街道办事处应当加强巡查，及时制</w:t>
      </w:r>
      <w:r>
        <w:rPr>
          <w:rFonts w:hint="eastAsia" w:ascii="仿宋_GB2312" w:hAnsi="仿宋_GB2312" w:eastAsia="仿宋"/>
          <w:sz w:val="32"/>
          <w:lang w:val="en-US" w:eastAsia="zh-CN"/>
        </w:rPr>
        <w:t>止违法露</w:t>
      </w:r>
      <w:r>
        <w:rPr>
          <w:rFonts w:hint="eastAsia" w:ascii="Times New Roman" w:hAnsi="Times New Roman" w:eastAsia="仿宋" w:cs="Times New Roman"/>
          <w:sz w:val="32"/>
          <w:szCs w:val="32"/>
          <w:shd w:val="clear" w:color="auto" w:fill="auto"/>
          <w:lang w:val="en-US" w:eastAsia="zh-CN"/>
        </w:rPr>
        <w:t>天</w:t>
      </w:r>
      <w:r>
        <w:rPr>
          <w:rFonts w:hint="eastAsia" w:ascii="Times New Roman" w:hAnsi="Times New Roman" w:eastAsia="仿宋" w:cs="Times New Roman"/>
          <w:sz w:val="32"/>
          <w:szCs w:val="32"/>
          <w:lang w:val="en-US" w:eastAsia="zh-CN"/>
        </w:rPr>
        <w:t>焚烧秸秆和弃置秸秆污染水体的行为</w:t>
      </w:r>
      <w:r>
        <w:rPr>
          <w:rFonts w:ascii="仿宋_GB2312" w:hAnsi="仿宋_GB2312" w:eastAsia="仿宋"/>
          <w:sz w:val="32"/>
          <w:szCs w:val="32"/>
        </w:rPr>
        <w:t>。</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rPr>
          <w:rFonts w:eastAsia="仿宋"/>
        </w:rPr>
      </w:pPr>
      <w:r>
        <w:rPr>
          <w:rFonts w:ascii="黑体" w:hAnsi="黑体" w:eastAsia="黑体"/>
          <w:sz w:val="32"/>
        </w:rPr>
        <w:t>第三十条</w:t>
      </w:r>
      <w:r>
        <w:rPr>
          <w:rFonts w:ascii="仿宋_GB2312" w:hAnsi="仿宋_GB2312" w:eastAsia="仿宋"/>
          <w:sz w:val="32"/>
        </w:rPr>
        <w:t>　畜禽养殖场、养殖小区应当根据养殖规模和污染防治需要，配备与设计生产能力、粪污处理利用方式相匹配的畜禽粪污处理设施设备，满足防雨、防渗、防溢流、防异味和安全防护要求，并确保正常运行。</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rPr>
          <w:rFonts w:eastAsia="仿宋"/>
        </w:rPr>
      </w:pPr>
      <w:r>
        <w:rPr>
          <w:rFonts w:ascii="仿宋_GB2312" w:hAnsi="仿宋_GB2312" w:eastAsia="仿宋"/>
          <w:sz w:val="32"/>
        </w:rPr>
        <w:t>镇人民政府、街道办事处应当加强对非规模化畜禽养殖场粪污处理的指导和监督。</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rPr>
          <w:rFonts w:eastAsia="仿宋"/>
        </w:rPr>
      </w:pPr>
      <w:r>
        <w:rPr>
          <w:rFonts w:ascii="仿宋_GB2312" w:hAnsi="仿宋_GB2312" w:eastAsia="仿宋"/>
          <w:sz w:val="32"/>
        </w:rPr>
        <w:t>畜禽养殖户应当对畜禽粪污进行收集，通过堆肥还田或者委托第三方机构处理等方式，对畜禽粪污进行无害化处理和资源化利用。</w:t>
      </w:r>
    </w:p>
    <w:p>
      <w:pPr>
        <w:keepNext w:val="0"/>
        <w:keepLines w:val="0"/>
        <w:pageBreakBefore w:val="0"/>
        <w:widowControl w:val="0"/>
        <w:kinsoku/>
        <w:wordWrap/>
        <w:overflowPunct/>
        <w:topLinePunct w:val="0"/>
        <w:autoSpaceDE/>
        <w:autoSpaceDN/>
        <w:bidi w:val="0"/>
        <w:adjustRightInd/>
        <w:snapToGrid/>
        <w:spacing w:after="0" w:line="240" w:lineRule="auto"/>
        <w:ind w:firstLine="632" w:firstLineChars="200"/>
        <w:textAlignment w:val="auto"/>
        <w:rPr>
          <w:rFonts w:eastAsia="仿宋"/>
        </w:rPr>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spacing w:before="0" w:after="0" w:line="240" w:lineRule="auto"/>
        <w:jc w:val="center"/>
        <w:textAlignment w:val="auto"/>
        <w:rPr>
          <w:rFonts w:eastAsia="仿宋"/>
        </w:rPr>
      </w:pPr>
      <w:r>
        <w:rPr>
          <w:rFonts w:eastAsia="黑体"/>
          <w:sz w:val="32"/>
        </w:rPr>
        <w:t>第六章　法律责任</w:t>
      </w:r>
    </w:p>
    <w:p>
      <w:pPr>
        <w:keepNext w:val="0"/>
        <w:keepLines w:val="0"/>
        <w:pageBreakBefore w:val="0"/>
        <w:widowControl w:val="0"/>
        <w:kinsoku/>
        <w:wordWrap/>
        <w:overflowPunct/>
        <w:topLinePunct w:val="0"/>
        <w:autoSpaceDE/>
        <w:autoSpaceDN/>
        <w:bidi w:val="0"/>
        <w:adjustRightInd/>
        <w:snapToGrid/>
        <w:spacing w:after="0" w:line="240" w:lineRule="auto"/>
        <w:ind w:firstLine="632" w:firstLineChars="200"/>
        <w:textAlignment w:val="auto"/>
        <w:rPr>
          <w:rFonts w:eastAsia="仿宋"/>
        </w:rPr>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rPr>
          <w:rFonts w:eastAsia="仿宋"/>
        </w:rPr>
      </w:pPr>
      <w:r>
        <w:rPr>
          <w:rFonts w:ascii="黑体" w:hAnsi="黑体" w:eastAsia="黑体"/>
          <w:sz w:val="32"/>
        </w:rPr>
        <w:t>第三十一条</w:t>
      </w:r>
      <w:r>
        <w:rPr>
          <w:rFonts w:ascii="仿宋_GB2312" w:hAnsi="仿宋_GB2312" w:eastAsia="仿宋"/>
          <w:sz w:val="32"/>
        </w:rPr>
        <w:t>　对违反本条例规定的行为，法律、法规已有处罚规定的，从其规定。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rPr>
          <w:rFonts w:eastAsia="仿宋"/>
        </w:rPr>
      </w:pPr>
      <w:r>
        <w:rPr>
          <w:rFonts w:ascii="黑体" w:hAnsi="黑体" w:eastAsia="黑体"/>
          <w:sz w:val="32"/>
        </w:rPr>
        <w:t>第</w:t>
      </w:r>
      <w:r>
        <w:rPr>
          <w:rFonts w:hint="eastAsia" w:ascii="黑体" w:hAnsi="黑体" w:eastAsia="黑体"/>
          <w:sz w:val="32"/>
          <w:lang w:eastAsia="zh-CN"/>
        </w:rPr>
        <w:t>三十二</w:t>
      </w:r>
      <w:r>
        <w:rPr>
          <w:rFonts w:ascii="黑体" w:hAnsi="黑体" w:eastAsia="黑体"/>
          <w:sz w:val="32"/>
        </w:rPr>
        <w:t>条</w:t>
      </w:r>
      <w:r>
        <w:rPr>
          <w:rFonts w:ascii="仿宋_GB2312" w:hAnsi="仿宋_GB2312" w:eastAsia="仿宋"/>
          <w:sz w:val="32"/>
        </w:rPr>
        <w:t>　违反本条例第二十八条第三款规定，农药销售者和农药包装废弃物回收站（点）未按照规定建立农药包装废弃物回收台账的，由农业农村部门责令改正；拒不改正或者情节严重的，可以处二千元以上二万元以下的罚款。</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rPr>
          <w:rFonts w:eastAsia="仿宋"/>
        </w:rPr>
      </w:pPr>
      <w:r>
        <w:rPr>
          <w:rFonts w:ascii="黑体" w:hAnsi="黑体" w:eastAsia="黑体"/>
          <w:sz w:val="32"/>
        </w:rPr>
        <w:t>第</w:t>
      </w:r>
      <w:r>
        <w:rPr>
          <w:rFonts w:hint="eastAsia" w:ascii="黑体" w:hAnsi="黑体" w:eastAsia="黑体"/>
          <w:sz w:val="32"/>
          <w:lang w:eastAsia="zh-CN"/>
        </w:rPr>
        <w:t>三十三</w:t>
      </w:r>
      <w:r>
        <w:rPr>
          <w:rFonts w:ascii="黑体" w:hAnsi="黑体" w:eastAsia="黑体"/>
          <w:sz w:val="32"/>
        </w:rPr>
        <w:t>条</w:t>
      </w:r>
      <w:r>
        <w:rPr>
          <w:rFonts w:ascii="仿宋_GB2312" w:hAnsi="仿宋_GB2312" w:eastAsia="仿宋"/>
          <w:sz w:val="32"/>
        </w:rPr>
        <w:t>　在乡村人居环境改善工作中，有关国家机关及其工作人员不履行本条例规定职责的，由其上级主管部门或者监察机关责令改正；情节严重的，对直接负责的主管人员和其他直接责任人员依法给予处分；构成犯罪的，依法追究刑事责任。</w:t>
      </w:r>
    </w:p>
    <w:p>
      <w:pPr>
        <w:keepNext w:val="0"/>
        <w:keepLines w:val="0"/>
        <w:pageBreakBefore w:val="0"/>
        <w:widowControl w:val="0"/>
        <w:kinsoku/>
        <w:wordWrap/>
        <w:overflowPunct/>
        <w:topLinePunct w:val="0"/>
        <w:autoSpaceDE/>
        <w:autoSpaceDN/>
        <w:bidi w:val="0"/>
        <w:adjustRightInd/>
        <w:snapToGrid/>
        <w:spacing w:after="0" w:line="240" w:lineRule="auto"/>
        <w:ind w:firstLine="632" w:firstLineChars="200"/>
        <w:textAlignment w:val="auto"/>
        <w:rPr>
          <w:rFonts w:eastAsia="仿宋"/>
        </w:rPr>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spacing w:before="0" w:after="0" w:line="240" w:lineRule="auto"/>
        <w:jc w:val="center"/>
        <w:textAlignment w:val="auto"/>
        <w:rPr>
          <w:rFonts w:eastAsia="仿宋"/>
        </w:rPr>
      </w:pPr>
      <w:r>
        <w:rPr>
          <w:rFonts w:eastAsia="黑体"/>
          <w:sz w:val="32"/>
        </w:rPr>
        <w:t>第七章　附　　则</w:t>
      </w:r>
    </w:p>
    <w:p>
      <w:pPr>
        <w:keepNext w:val="0"/>
        <w:keepLines w:val="0"/>
        <w:pageBreakBefore w:val="0"/>
        <w:widowControl w:val="0"/>
        <w:kinsoku/>
        <w:wordWrap/>
        <w:overflowPunct/>
        <w:topLinePunct w:val="0"/>
        <w:autoSpaceDE/>
        <w:autoSpaceDN/>
        <w:bidi w:val="0"/>
        <w:adjustRightInd/>
        <w:snapToGrid/>
        <w:spacing w:after="0" w:line="240" w:lineRule="auto"/>
        <w:ind w:firstLine="632" w:firstLineChars="200"/>
        <w:textAlignment w:val="auto"/>
        <w:rPr>
          <w:rFonts w:eastAsia="仿宋"/>
        </w:rPr>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textAlignment w:val="auto"/>
        <w:rPr>
          <w:rFonts w:eastAsia="仿宋"/>
        </w:rPr>
      </w:pPr>
      <w:r>
        <w:rPr>
          <w:rFonts w:ascii="黑体" w:hAnsi="黑体" w:eastAsia="黑体"/>
          <w:sz w:val="32"/>
        </w:rPr>
        <w:t>第</w:t>
      </w:r>
      <w:r>
        <w:rPr>
          <w:rFonts w:hint="eastAsia" w:ascii="黑体" w:hAnsi="黑体" w:eastAsia="黑体"/>
          <w:sz w:val="32"/>
          <w:lang w:eastAsia="zh-CN"/>
        </w:rPr>
        <w:t>三十四</w:t>
      </w:r>
      <w:r>
        <w:rPr>
          <w:rFonts w:ascii="黑体" w:hAnsi="黑体" w:eastAsia="黑体"/>
          <w:sz w:val="32"/>
        </w:rPr>
        <w:t>条</w:t>
      </w:r>
      <w:r>
        <w:rPr>
          <w:rFonts w:ascii="Times New Roman" w:hAnsi="Times New Roman" w:eastAsia="仿宋"/>
          <w:sz w:val="32"/>
        </w:rPr>
        <w:t>　本条例自2024年1月1日起施行。</w:t>
      </w:r>
    </w:p>
    <w:p>
      <w:pPr>
        <w:rPr>
          <w:rFonts w:eastAsia="仿宋"/>
        </w:rPr>
      </w:pPr>
    </w:p>
    <w:p>
      <w:pPr>
        <w:spacing w:line="240" w:lineRule="auto"/>
        <w:ind w:firstLine="640"/>
        <w:jc w:val="both"/>
        <w:rPr>
          <w:rFonts w:ascii="Times New Roman" w:hAnsi="仿宋_GB2312" w:eastAsia="仿宋" w:cs="仿宋_GB2312"/>
          <w:sz w:val="32"/>
        </w:rPr>
      </w:pPr>
    </w:p>
    <w:p>
      <w:pPr>
        <w:spacing w:line="240" w:lineRule="auto"/>
        <w:jc w:val="both"/>
        <w:rPr>
          <w:rFonts w:ascii="Times New Roman" w:hAnsi="仿宋_GB2312" w:eastAsia="仿宋" w:cs="仿宋_GB2312"/>
          <w:sz w:val="32"/>
        </w:rPr>
      </w:pPr>
    </w:p>
    <w:p>
      <w:pPr>
        <w:spacing w:line="240" w:lineRule="auto"/>
        <w:ind w:firstLine="640"/>
        <w:jc w:val="both"/>
        <w:rPr>
          <w:rFonts w:ascii="Times New Roman" w:hAnsi="仿宋_GB2312" w:eastAsia="仿宋" w:cs="仿宋_GB2312"/>
          <w:sz w:val="32"/>
        </w:rPr>
      </w:pPr>
    </w:p>
    <w:p>
      <w:pPr>
        <w:spacing w:line="240" w:lineRule="auto"/>
        <w:ind w:firstLine="640"/>
        <w:jc w:val="both"/>
        <w:rPr>
          <w:rFonts w:ascii="Times New Roman" w:hAnsi="仿宋_GB2312" w:eastAsia="仿宋" w:cs="仿宋_GB2312"/>
          <w:sz w:val="32"/>
        </w:rPr>
      </w:pPr>
    </w:p>
    <w:p>
      <w:pPr>
        <w:spacing w:line="240" w:lineRule="auto"/>
        <w:jc w:val="both"/>
        <w:rPr>
          <w:rFonts w:ascii="Times New Roman" w:hAnsi="仿宋_GB2312" w:eastAsia="仿宋" w:cs="仿宋_GB2312"/>
          <w:sz w:val="32"/>
        </w:rPr>
      </w:pPr>
    </w:p>
    <w:p>
      <w:pPr>
        <w:spacing w:line="240" w:lineRule="auto"/>
        <w:jc w:val="both"/>
        <w:rPr>
          <w:rFonts w:ascii="Times New Roman" w:hAnsi="仿宋_GB2312" w:eastAsia="仿宋" w:cs="仿宋_GB2312"/>
          <w:sz w:val="32"/>
        </w:rPr>
      </w:pPr>
    </w:p>
    <w:p>
      <w:pPr>
        <w:pStyle w:val="2"/>
        <w:rPr>
          <w:rFonts w:hint="default" w:eastAsia="仿宋"/>
        </w:rPr>
      </w:pPr>
    </w:p>
    <w:p>
      <w:pPr>
        <w:rPr>
          <w:rFonts w:hint="eastAsia" w:ascii="Times New Roman" w:hAnsi="Times New Roman" w:eastAsia="仿宋" w:cs="Times New Roman"/>
          <w:b w:val="0"/>
          <w:bCs w:val="0"/>
          <w:color w:val="auto"/>
          <w:kern w:val="0"/>
          <w:sz w:val="32"/>
          <w:szCs w:val="32"/>
          <w:u w:val="none"/>
          <w:lang w:val="en-US" w:eastAsia="zh-CN"/>
        </w:rPr>
      </w:pPr>
    </w:p>
    <w:sectPr>
      <w:footerReference r:id="rId3" w:type="default"/>
      <w:footerReference r:id="rId4" w:type="even"/>
      <w:pgSz w:w="11906" w:h="16838"/>
      <w:pgMar w:top="2098" w:right="1474" w:bottom="1984" w:left="1588" w:header="851" w:footer="1474" w:gutter="0"/>
      <w:lnNumType w:countBy="0" w:restart="continuous"/>
      <w:cols w:space="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43"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微软雅黑 Light"/>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Cambria">
    <w:altName w:val="FreeSerif"/>
    <w:panose1 w:val="02040503050406030204"/>
    <w:charset w:val="00"/>
    <w:family w:val="auto"/>
    <w:pitch w:val="default"/>
    <w:sig w:usb0="00000000" w:usb1="00000000" w:usb2="02000000" w:usb3="00000000" w:csb0="2000019F" w:csb1="00000000"/>
  </w:font>
  <w:font w:name="方正黑体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ˎ̥">
    <w:altName w:val="汉仪新人文宋简"/>
    <w:panose1 w:val="00000000000000000000"/>
    <w:charset w:val="00"/>
    <w:family w:val="roman"/>
    <w:pitch w:val="default"/>
    <w:sig w:usb0="00000000" w:usb1="00000000" w:usb2="00000000" w:usb3="00000000" w:csb0="00040001"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Book Antiqua">
    <w:altName w:val="FreeSerif"/>
    <w:panose1 w:val="02040602050305030304"/>
    <w:charset w:val="00"/>
    <w:family w:val="roman"/>
    <w:pitch w:val="default"/>
    <w:sig w:usb0="00000000" w:usb1="00000000" w:usb2="00000000" w:usb3="00000000" w:csb0="2000009F" w:csb1="DFD7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DejaVu Math TeX Gyre">
    <w:panose1 w:val="02000503000000000000"/>
    <w:charset w:val="00"/>
    <w:family w:val="auto"/>
    <w:pitch w:val="default"/>
    <w:sig w:usb0="A10000EF" w:usb1="4201F9EE" w:usb2="02000000" w:usb3="00000000" w:csb0="60000193" w:csb1="0DD40000"/>
  </w:font>
  <w:font w:name="FreeSerif">
    <w:panose1 w:val="02020603050405020304"/>
    <w:charset w:val="00"/>
    <w:family w:val="auto"/>
    <w:pitch w:val="default"/>
    <w:sig w:usb0="E59FAFFF" w:usb1="C200FDFF" w:usb2="43501B29" w:usb3="04000043" w:csb0="600101FF" w:csb1="FFFF0000"/>
  </w:font>
  <w:font w:name="DejaVu Sans">
    <w:panose1 w:val="020B0603030804020204"/>
    <w:charset w:val="00"/>
    <w:family w:val="auto"/>
    <w:pitch w:val="default"/>
    <w:sig w:usb0="E7006EFF" w:usb1="D200FDFF" w:usb2="0A246029" w:usb3="0400200C" w:csb0="600001FF" w:csb1="DFFF0000"/>
  </w:font>
  <w:font w:name="微软雅黑 Light">
    <w:panose1 w:val="020B0502040204020203"/>
    <w:charset w:val="86"/>
    <w:family w:val="auto"/>
    <w:pitch w:val="default"/>
    <w:sig w:usb0="80000287" w:usb1="2ACF0010" w:usb2="00000016" w:usb3="00000000" w:csb0="0004001F" w:csb1="00000000"/>
  </w:font>
  <w:font w:name="微软雅黑">
    <w:panose1 w:val="020B0503020204020204"/>
    <w:charset w:val="86"/>
    <w:family w:val="auto"/>
    <w:pitch w:val="default"/>
    <w:sig w:usb0="80000287" w:usb1="2ACF3C50" w:usb2="00000016" w:usb3="00000000" w:csb0="0004001F" w:csb1="00000000"/>
  </w:font>
  <w:font w:name="汉仪新人文宋简">
    <w:panose1 w:val="00020600040101010101"/>
    <w:charset w:val="86"/>
    <w:family w:val="auto"/>
    <w:pitch w:val="default"/>
    <w:sig w:usb0="A00002BF" w:usb1="1ACF7CFA" w:usb2="00000016"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6</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mirrorMargins w:val="true"/>
  <w:bordersDoNotSurroundHeader w:val="true"/>
  <w:bordersDoNotSurroundFooter w:val="true"/>
  <w:documentProtection w:enforcement="0"/>
  <w:defaultTabStop w:val="420"/>
  <w:evenAndOddHeaders w:val="true"/>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1A73ABD"/>
    <w:rsid w:val="01BE7732"/>
    <w:rsid w:val="02CF4CE8"/>
    <w:rsid w:val="04156BFD"/>
    <w:rsid w:val="04AE6505"/>
    <w:rsid w:val="05063D7F"/>
    <w:rsid w:val="05A5708C"/>
    <w:rsid w:val="063B0793"/>
    <w:rsid w:val="06997F2C"/>
    <w:rsid w:val="09A34AE0"/>
    <w:rsid w:val="0A1D3114"/>
    <w:rsid w:val="0AFB5144"/>
    <w:rsid w:val="0B786794"/>
    <w:rsid w:val="0B9F1F73"/>
    <w:rsid w:val="0C00483C"/>
    <w:rsid w:val="0D9804AC"/>
    <w:rsid w:val="0DDA791E"/>
    <w:rsid w:val="123353A1"/>
    <w:rsid w:val="128E06EB"/>
    <w:rsid w:val="130F49E2"/>
    <w:rsid w:val="1387789C"/>
    <w:rsid w:val="13936861"/>
    <w:rsid w:val="15E96C0C"/>
    <w:rsid w:val="17977775"/>
    <w:rsid w:val="17C34BBF"/>
    <w:rsid w:val="19550115"/>
    <w:rsid w:val="19F0044A"/>
    <w:rsid w:val="1D927673"/>
    <w:rsid w:val="1F777037"/>
    <w:rsid w:val="1FA877E0"/>
    <w:rsid w:val="20862889"/>
    <w:rsid w:val="208F6602"/>
    <w:rsid w:val="21641450"/>
    <w:rsid w:val="2200260F"/>
    <w:rsid w:val="226A2E83"/>
    <w:rsid w:val="23711FD7"/>
    <w:rsid w:val="2483647E"/>
    <w:rsid w:val="24F5659E"/>
    <w:rsid w:val="251610A0"/>
    <w:rsid w:val="25B8207E"/>
    <w:rsid w:val="25FFFD37"/>
    <w:rsid w:val="26705BD1"/>
    <w:rsid w:val="26736BAE"/>
    <w:rsid w:val="28251690"/>
    <w:rsid w:val="298A635B"/>
    <w:rsid w:val="2C286CBB"/>
    <w:rsid w:val="2DB83816"/>
    <w:rsid w:val="2EC9480B"/>
    <w:rsid w:val="2F0D62B4"/>
    <w:rsid w:val="2F174F53"/>
    <w:rsid w:val="34582D2C"/>
    <w:rsid w:val="371337D0"/>
    <w:rsid w:val="37702892"/>
    <w:rsid w:val="386720F1"/>
    <w:rsid w:val="39365415"/>
    <w:rsid w:val="3C460065"/>
    <w:rsid w:val="3C527DA1"/>
    <w:rsid w:val="3CF47A8D"/>
    <w:rsid w:val="3D5B2BB6"/>
    <w:rsid w:val="3DE63740"/>
    <w:rsid w:val="3E267C4F"/>
    <w:rsid w:val="3E36A651"/>
    <w:rsid w:val="3E59721A"/>
    <w:rsid w:val="3FB419F3"/>
    <w:rsid w:val="40400BE3"/>
    <w:rsid w:val="4150251C"/>
    <w:rsid w:val="442624E3"/>
    <w:rsid w:val="479733DA"/>
    <w:rsid w:val="481351D2"/>
    <w:rsid w:val="4AB1034C"/>
    <w:rsid w:val="51405DBF"/>
    <w:rsid w:val="5248189E"/>
    <w:rsid w:val="53543565"/>
    <w:rsid w:val="558A062C"/>
    <w:rsid w:val="55D20C3F"/>
    <w:rsid w:val="563D1124"/>
    <w:rsid w:val="57451439"/>
    <w:rsid w:val="57CC3356"/>
    <w:rsid w:val="59BDF55C"/>
    <w:rsid w:val="5B2F58ED"/>
    <w:rsid w:val="5B8E0527"/>
    <w:rsid w:val="5BE5455C"/>
    <w:rsid w:val="5BE87A71"/>
    <w:rsid w:val="5D0B159E"/>
    <w:rsid w:val="5D510563"/>
    <w:rsid w:val="5EF87ED9"/>
    <w:rsid w:val="5F066F8F"/>
    <w:rsid w:val="5FF26C90"/>
    <w:rsid w:val="5FFA5295"/>
    <w:rsid w:val="609805E0"/>
    <w:rsid w:val="622F12CF"/>
    <w:rsid w:val="63A92BB6"/>
    <w:rsid w:val="68101585"/>
    <w:rsid w:val="687E48C4"/>
    <w:rsid w:val="69623539"/>
    <w:rsid w:val="6A2E56A6"/>
    <w:rsid w:val="6A464C09"/>
    <w:rsid w:val="6ACF65D0"/>
    <w:rsid w:val="6C552A97"/>
    <w:rsid w:val="6D384E6C"/>
    <w:rsid w:val="70FF5B11"/>
    <w:rsid w:val="72B868C0"/>
    <w:rsid w:val="730257DC"/>
    <w:rsid w:val="74DB6338"/>
    <w:rsid w:val="75FF9155"/>
    <w:rsid w:val="775E649E"/>
    <w:rsid w:val="7785787E"/>
    <w:rsid w:val="77DD55F8"/>
    <w:rsid w:val="786D6300"/>
    <w:rsid w:val="78D802CB"/>
    <w:rsid w:val="79F1967A"/>
    <w:rsid w:val="79F878A6"/>
    <w:rsid w:val="7B09319D"/>
    <w:rsid w:val="7BB07870"/>
    <w:rsid w:val="7C596F70"/>
    <w:rsid w:val="7E541E2C"/>
    <w:rsid w:val="7E970A86"/>
    <w:rsid w:val="AE7FD5AE"/>
    <w:rsid w:val="B9FC833B"/>
    <w:rsid w:val="F56DA462"/>
    <w:rsid w:val="FDAAD4BF"/>
    <w:rsid w:val="FF7741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3">
    <w:name w:val="heading 2"/>
    <w:basedOn w:val="1"/>
    <w:next w:val="1"/>
    <w:unhideWhenUsed/>
    <w:qFormat/>
    <w:uiPriority w:val="9"/>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table of authorities"/>
    <w:basedOn w:val="1"/>
    <w:next w:val="1"/>
    <w:qFormat/>
    <w:uiPriority w:val="0"/>
    <w:pPr>
      <w:ind w:left="200" w:leftChars="200"/>
    </w:pPr>
  </w:style>
  <w:style w:type="paragraph" w:styleId="4">
    <w:name w:val="Body Text"/>
    <w:basedOn w:val="1"/>
    <w:next w:val="1"/>
    <w:qFormat/>
    <w:uiPriority w:val="0"/>
    <w:pPr>
      <w:ind w:left="142"/>
    </w:pPr>
    <w:rPr>
      <w:rFonts w:ascii="仿宋" w:eastAsia="仿宋" w:cs="仿宋"/>
      <w:sz w:val="31"/>
      <w:szCs w:val="31"/>
      <w:lang w:val="zh-CN"/>
    </w:rPr>
  </w:style>
  <w:style w:type="paragraph" w:styleId="5">
    <w:name w:val="Plain Text"/>
    <w:basedOn w:val="1"/>
    <w:unhideWhenUsed/>
    <w:qFormat/>
    <w:uiPriority w:val="99"/>
    <w:rPr>
      <w:rFonts w:ascii="宋体" w:hAnsi="Courier New" w:cs="Courier New"/>
      <w:szCs w:val="21"/>
    </w:rPr>
  </w:style>
  <w:style w:type="paragraph" w:styleId="6">
    <w:name w:val="footer"/>
    <w:basedOn w:val="1"/>
    <w:link w:val="15"/>
    <w:unhideWhenUsed/>
    <w:qFormat/>
    <w:uiPriority w:val="99"/>
    <w:pPr>
      <w:tabs>
        <w:tab w:val="center" w:pos="4153"/>
        <w:tab w:val="right" w:pos="8306"/>
      </w:tabs>
      <w:snapToGrid w:val="0"/>
      <w:jc w:val="left"/>
    </w:pPr>
    <w:rPr>
      <w:sz w:val="18"/>
      <w:szCs w:val="18"/>
    </w:rPr>
  </w:style>
  <w:style w:type="paragraph" w:styleId="7">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widowControl/>
      <w:spacing w:before="100" w:beforeAutospacing="1" w:after="100" w:afterAutospacing="1"/>
      <w:jc w:val="left"/>
    </w:pPr>
    <w:rPr>
      <w:rFonts w:ascii="宋体" w:hAnsi="宋体" w:eastAsia="仿宋_GB2312" w:cs="宋体"/>
      <w:kern w:val="0"/>
      <w:sz w:val="24"/>
      <w:szCs w:val="32"/>
    </w:rPr>
  </w:style>
  <w:style w:type="paragraph" w:styleId="9">
    <w:name w:val="Body Text First Indent"/>
    <w:basedOn w:val="4"/>
    <w:qFormat/>
    <w:uiPriority w:val="0"/>
    <w:pPr>
      <w:widowControl w:val="0"/>
      <w:ind w:left="291" w:firstLine="420" w:firstLineChars="0"/>
      <w:jc w:val="both"/>
    </w:pPr>
    <w:rPr>
      <w:rFonts w:ascii="Calibri" w:hAnsi="Calibri" w:eastAsia="Calibri" w:cs="Calibri"/>
      <w:color w:val="000000"/>
      <w:kern w:val="2"/>
      <w:sz w:val="32"/>
      <w:szCs w:val="21"/>
      <w:lang w:val="en-US" w:eastAsia="zh-CN" w:bidi="ar-SA"/>
    </w:rPr>
  </w:style>
  <w:style w:type="character" w:styleId="12">
    <w:name w:val="page number"/>
    <w:basedOn w:val="11"/>
    <w:qFormat/>
    <w:uiPriority w:val="0"/>
  </w:style>
  <w:style w:type="character" w:styleId="13">
    <w:name w:val="FollowedHyperlink"/>
    <w:unhideWhenUsed/>
    <w:qFormat/>
    <w:uiPriority w:val="99"/>
    <w:rPr>
      <w:color w:val="954F72"/>
      <w:u w:val="single"/>
    </w:rPr>
  </w:style>
  <w:style w:type="character" w:styleId="14">
    <w:name w:val="Hyperlink"/>
    <w:qFormat/>
    <w:uiPriority w:val="99"/>
    <w:rPr>
      <w:rFonts w:hint="default" w:ascii="ˎ̥" w:hAnsi="ˎ̥"/>
      <w:color w:val="0404B3"/>
      <w:sz w:val="18"/>
      <w:szCs w:val="18"/>
      <w:u w:val="none"/>
    </w:rPr>
  </w:style>
  <w:style w:type="character" w:customStyle="1" w:styleId="15">
    <w:name w:val="页脚 Char"/>
    <w:link w:val="6"/>
    <w:qFormat/>
    <w:uiPriority w:val="99"/>
    <w:rPr>
      <w:sz w:val="18"/>
      <w:szCs w:val="18"/>
    </w:rPr>
  </w:style>
  <w:style w:type="character" w:customStyle="1" w:styleId="16">
    <w:name w:val="页眉 Char"/>
    <w:link w:val="7"/>
    <w:qFormat/>
    <w:uiPriority w:val="99"/>
    <w:rPr>
      <w:sz w:val="18"/>
      <w:szCs w:val="18"/>
    </w:rPr>
  </w:style>
  <w:style w:type="paragraph" w:customStyle="1" w:styleId="17">
    <w:name w:val="标题1"/>
    <w:basedOn w:val="1"/>
    <w:next w:val="1"/>
    <w:qFormat/>
    <w:uiPriority w:val="0"/>
    <w:pPr>
      <w:tabs>
        <w:tab w:val="left" w:pos="9193"/>
        <w:tab w:val="left" w:pos="9827"/>
      </w:tabs>
      <w:autoSpaceDE w:val="0"/>
      <w:autoSpaceDN w:val="0"/>
      <w:spacing w:line="760" w:lineRule="atLeast"/>
      <w:ind w:firstLine="0" w:firstLineChars="0"/>
      <w:jc w:val="center"/>
    </w:pPr>
    <w:rPr>
      <w:rFonts w:ascii="方正小标宋_GBK" w:hAnsi="Times New Roman" w:eastAsia="方正小标宋_GBK" w:cs="Times New Roman"/>
      <w:sz w:val="44"/>
    </w:rPr>
  </w:style>
  <w:style w:type="paragraph" w:customStyle="1" w:styleId="18">
    <w:name w:val="标题2"/>
    <w:basedOn w:val="1"/>
    <w:next w:val="1"/>
    <w:qFormat/>
    <w:uiPriority w:val="0"/>
    <w:pPr>
      <w:ind w:firstLine="0" w:firstLineChars="0"/>
      <w:jc w:val="center"/>
    </w:pPr>
    <w:rPr>
      <w:rFonts w:ascii="方正楷体_GBK" w:hAnsi="Book Antiqua" w:eastAsia="楷体_GB231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105</Pages>
  <Words>31215</Words>
  <Characters>31334</Characters>
  <Lines>87</Lines>
  <Paragraphs>24</Paragraphs>
  <TotalTime>55</TotalTime>
  <ScaleCrop>false</ScaleCrop>
  <LinksUpToDate>false</LinksUpToDate>
  <CharactersWithSpaces>31732</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2017-11-17T10:33:00Z</dcterms:created>
  <dc:creator>YF-INT6</dc:creator>
  <cp:lastModifiedBy>taiji</cp:lastModifiedBy>
  <cp:lastPrinted>2026-08-01T10:49:00Z</cp:lastPrinted>
  <dcterms:modified xsi:type="dcterms:W3CDTF">2026-08-13T17:10:26Z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860D7CF6B9544B86987FC7B821AF76AD_13</vt:lpwstr>
  </property>
  <property fmtid="{D5CDD505-2E9C-101B-9397-08002B2CF9AE}" pid="3" name="KSOProductBuildVer">
    <vt:lpwstr>2052-11.8.2.10422</vt:lpwstr>
  </property>
  <property fmtid="{D5CDD505-2E9C-101B-9397-08002B2CF9AE}" pid="4" name="KSOTemplateDocerSaveRecord">
    <vt:lpwstr>eyJoZGlkIjoiMWQ5OTUzMjBmZDJiZjQxZmI4YTYzYjYyNjc4ZjM1ZDYiLCJ1c2VySWQiOiIzNzI3NTUzNjAifQ==</vt:lpwstr>
  </property>
</Properties>
</file>