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8A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  <w:t>2</w:t>
      </w:r>
    </w:p>
    <w:p w14:paraId="127F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ind w:firstLine="862" w:firstLineChars="20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</w:pPr>
    </w:p>
    <w:p w14:paraId="3958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ind w:firstLine="86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  <w:t>关于废止《淮安市地下水资源管理办法》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  <w:t>的说明</w:t>
      </w:r>
    </w:p>
    <w:p w14:paraId="0308B66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</w:pPr>
    </w:p>
    <w:p w14:paraId="0FDD1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《淮安市地下水资源管理办法》（以下简称《办法》）自2017年施行以来，对规范本市地下水资源管理起到了重要作用。2021年国务院制定《地下水管理条例》，2024年《江苏省地下水管理条例》公布，均对地下水管理提出了全面加强的要求，系统构建了涵盖调查与规划、节约与保护、超采治理、污染防治及监督管理等环节的全链条、多层次监管体系。相比之下，《办法》中关于开发利用、保护与管理等核心内容已基本被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《地下水管理条例》和《江苏省地下水管理条例》所覆盖，且其中部分条款（如组织封填等）与《中华人民共和国行政强制法》及《江苏省地下水管理条例》的规定不一致。因此，拟废止《淮安市地下水资源管理办法》。</w:t>
      </w:r>
    </w:p>
    <w:p w14:paraId="20450562"/>
    <w:sectPr>
      <w:footerReference r:id="rId3" w:type="default"/>
      <w:pgSz w:w="11906" w:h="16838"/>
      <w:pgMar w:top="1814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9B9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18EF"/>
    <w:rsid w:val="1C1371B1"/>
    <w:rsid w:val="4F3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314</Characters>
  <Lines>0</Lines>
  <Paragraphs>0</Paragraphs>
  <TotalTime>0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2026-01-05T09:53:00Z</dcterms:created>
  <dc:creator>雷易</dc:creator>
  <cp:lastModifiedBy>雷易</cp:lastModifiedBy>
  <dcterms:modified xsi:type="dcterms:W3CDTF">2026-01-06T01:24:33Z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D8314E0883254BD6985AF6DF15341EED_11</vt:lpwstr>
  </property>
  <property fmtid="{D5CDD505-2E9C-101B-9397-08002B2CF9AE}" pid="4" name="KSOTemplateDocerSaveRecord">
    <vt:lpwstr>eyJoZGlkIjoiMGU5NjAyY2JlNDZmMWIwMzJmNmRjZTE2OTk5ZmFmMGEiLCJ1c2VySWQiOiI1NjUzNjIxMjMifQ==</vt:lpwstr>
  </property>
</Properties>
</file>