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CC40F">
      <w:pPr>
        <w:spacing w:beforeLines="50" w:line="840" w:lineRule="exact"/>
        <w:jc w:val="distribute"/>
        <w:rPr>
          <w:rFonts w:hint="eastAsia" w:ascii="方正大标宋简体" w:hAnsi="方正大标宋简体" w:eastAsia="方正大标宋简体" w:cs="方正大标宋简体"/>
          <w:color w:val="FF0000"/>
          <w:sz w:val="72"/>
          <w:szCs w:val="72"/>
        </w:rPr>
      </w:pPr>
    </w:p>
    <w:tbl>
      <w:tblPr>
        <w:tblStyle w:val="6"/>
        <w:tblpPr w:leftFromText="180" w:rightFromText="180" w:vertAnchor="text" w:tblpXSpec="center" w:tblpY="1"/>
        <w:tblOverlap w:val="never"/>
        <w:tblW w:w="5208" w:type="pct"/>
        <w:tblInd w:w="0" w:type="dxa"/>
        <w:tblLayout w:type="autofit"/>
        <w:tblCellMar>
          <w:top w:w="0" w:type="dxa"/>
          <w:left w:w="108" w:type="dxa"/>
          <w:bottom w:w="0" w:type="dxa"/>
          <w:right w:w="108" w:type="dxa"/>
        </w:tblCellMar>
      </w:tblPr>
      <w:tblGrid>
        <w:gridCol w:w="7268"/>
        <w:gridCol w:w="1602"/>
      </w:tblGrid>
      <w:tr w14:paraId="193F6BA7">
        <w:tblPrEx>
          <w:tblCellMar>
            <w:top w:w="0" w:type="dxa"/>
            <w:left w:w="108" w:type="dxa"/>
            <w:bottom w:w="0" w:type="dxa"/>
            <w:right w:w="108" w:type="dxa"/>
          </w:tblCellMar>
        </w:tblPrEx>
        <w:trPr>
          <w:trHeight w:val="3028" w:hRule="exact"/>
        </w:trPr>
        <w:tc>
          <w:tcPr>
            <w:tcW w:w="4097" w:type="pct"/>
          </w:tcPr>
          <w:p w14:paraId="30A1C4A7">
            <w:pPr>
              <w:spacing w:beforeLines="50" w:line="840" w:lineRule="exact"/>
              <w:jc w:val="distribute"/>
              <w:rPr>
                <w:rFonts w:ascii="方正大标宋简体" w:hAnsi="方正大标宋简体" w:eastAsia="方正大标宋简体" w:cs="Times New Roman"/>
                <w:color w:val="FF0000"/>
                <w:sz w:val="72"/>
                <w:szCs w:val="72"/>
              </w:rPr>
            </w:pPr>
            <w:r>
              <w:rPr>
                <w:rFonts w:hint="eastAsia" w:ascii="方正大标宋简体" w:hAnsi="方正大标宋简体" w:eastAsia="方正大标宋简体" w:cs="方正大标宋简体"/>
                <w:color w:val="FF0000"/>
                <w:sz w:val="72"/>
                <w:szCs w:val="72"/>
              </w:rPr>
              <w:t>淮</w:t>
            </w:r>
            <w:r>
              <w:rPr>
                <w:rFonts w:ascii="方正大标宋简体" w:hAnsi="方正大标宋简体" w:eastAsia="方正大标宋简体" w:cs="方正大标宋简体"/>
                <w:color w:val="FF0000"/>
                <w:sz w:val="72"/>
                <w:szCs w:val="72"/>
              </w:rPr>
              <w:t xml:space="preserve"> </w:t>
            </w:r>
            <w:r>
              <w:rPr>
                <w:rFonts w:hint="eastAsia" w:ascii="方正大标宋简体" w:hAnsi="方正大标宋简体" w:eastAsia="方正大标宋简体" w:cs="方正大标宋简体"/>
                <w:color w:val="FF0000"/>
                <w:sz w:val="72"/>
                <w:szCs w:val="72"/>
              </w:rPr>
              <w:t>安</w:t>
            </w:r>
            <w:r>
              <w:rPr>
                <w:rFonts w:ascii="方正大标宋简体" w:hAnsi="方正大标宋简体" w:eastAsia="方正大标宋简体" w:cs="方正大标宋简体"/>
                <w:color w:val="FF0000"/>
                <w:sz w:val="72"/>
                <w:szCs w:val="72"/>
              </w:rPr>
              <w:t xml:space="preserve"> </w:t>
            </w:r>
            <w:r>
              <w:rPr>
                <w:rFonts w:hint="eastAsia" w:ascii="方正大标宋简体" w:hAnsi="方正大标宋简体" w:eastAsia="方正大标宋简体" w:cs="方正大标宋简体"/>
                <w:color w:val="FF0000"/>
                <w:sz w:val="72"/>
                <w:szCs w:val="72"/>
              </w:rPr>
              <w:t>市</w:t>
            </w:r>
            <w:r>
              <w:rPr>
                <w:rFonts w:ascii="方正大标宋简体" w:hAnsi="方正大标宋简体" w:eastAsia="方正大标宋简体" w:cs="方正大标宋简体"/>
                <w:color w:val="FF0000"/>
                <w:sz w:val="72"/>
                <w:szCs w:val="72"/>
              </w:rPr>
              <w:t xml:space="preserve"> </w:t>
            </w:r>
            <w:r>
              <w:rPr>
                <w:rFonts w:hint="eastAsia" w:ascii="方正大标宋简体" w:hAnsi="方正大标宋简体" w:eastAsia="方正大标宋简体" w:cs="方正大标宋简体"/>
                <w:color w:val="FF0000"/>
                <w:sz w:val="72"/>
                <w:szCs w:val="72"/>
              </w:rPr>
              <w:t>商</w:t>
            </w:r>
            <w:r>
              <w:rPr>
                <w:rFonts w:ascii="方正大标宋简体" w:hAnsi="方正大标宋简体" w:eastAsia="方正大标宋简体" w:cs="方正大标宋简体"/>
                <w:color w:val="FF0000"/>
                <w:sz w:val="72"/>
                <w:szCs w:val="72"/>
              </w:rPr>
              <w:t xml:space="preserve"> </w:t>
            </w:r>
            <w:r>
              <w:rPr>
                <w:rFonts w:hint="eastAsia" w:ascii="方正大标宋简体" w:hAnsi="方正大标宋简体" w:eastAsia="方正大标宋简体" w:cs="方正大标宋简体"/>
                <w:color w:val="FF0000"/>
                <w:sz w:val="72"/>
                <w:szCs w:val="72"/>
              </w:rPr>
              <w:t>务</w:t>
            </w:r>
            <w:r>
              <w:rPr>
                <w:rFonts w:ascii="方正大标宋简体" w:hAnsi="方正大标宋简体" w:eastAsia="方正大标宋简体" w:cs="方正大标宋简体"/>
                <w:color w:val="FF0000"/>
                <w:sz w:val="72"/>
                <w:szCs w:val="72"/>
              </w:rPr>
              <w:t xml:space="preserve"> </w:t>
            </w:r>
            <w:r>
              <w:rPr>
                <w:rFonts w:hint="eastAsia" w:ascii="方正大标宋简体" w:hAnsi="方正大标宋简体" w:eastAsia="方正大标宋简体" w:cs="方正大标宋简体"/>
                <w:color w:val="FF0000"/>
                <w:sz w:val="72"/>
                <w:szCs w:val="72"/>
              </w:rPr>
              <w:t>局</w:t>
            </w:r>
          </w:p>
          <w:p w14:paraId="3EA2A0AD">
            <w:pPr>
              <w:spacing w:line="840" w:lineRule="exact"/>
              <w:jc w:val="distribute"/>
              <w:rPr>
                <w:rFonts w:ascii="方正大标宋简体" w:hAnsi="方正大标宋简体" w:eastAsia="方正大标宋简体" w:cs="Times New Roman"/>
                <w:color w:val="FF0000"/>
                <w:sz w:val="72"/>
                <w:szCs w:val="72"/>
              </w:rPr>
            </w:pPr>
            <w:r>
              <w:rPr>
                <w:rFonts w:hint="eastAsia" w:ascii="方正大标宋简体" w:hAnsi="方正大标宋简体" w:eastAsia="方正大标宋简体" w:cs="方正大标宋简体"/>
                <w:color w:val="FF0000"/>
                <w:sz w:val="72"/>
                <w:szCs w:val="72"/>
              </w:rPr>
              <w:t>淮安市公安局</w:t>
            </w:r>
          </w:p>
          <w:p w14:paraId="6522C603">
            <w:pPr>
              <w:spacing w:line="840" w:lineRule="exact"/>
              <w:jc w:val="distribute"/>
              <w:rPr>
                <w:rFonts w:ascii="Times New Roman" w:hAnsi="Times New Roman" w:eastAsia="方正小标宋_GBK" w:cs="Times New Roman"/>
                <w:color w:val="FF0000"/>
                <w:sz w:val="72"/>
                <w:szCs w:val="72"/>
              </w:rPr>
            </w:pPr>
            <w:r>
              <w:rPr>
                <w:rFonts w:hint="eastAsia" w:ascii="方正大标宋简体" w:hAnsi="方正大标宋简体" w:eastAsia="方正大标宋简体" w:cs="方正大标宋简体"/>
                <w:color w:val="FF0000"/>
                <w:sz w:val="72"/>
                <w:szCs w:val="72"/>
              </w:rPr>
              <w:t>淮安市生态环境局</w:t>
            </w:r>
          </w:p>
          <w:p w14:paraId="03EBF034">
            <w:pPr>
              <w:spacing w:line="760" w:lineRule="exact"/>
              <w:jc w:val="distribute"/>
              <w:rPr>
                <w:rFonts w:ascii="Times New Roman" w:hAnsi="Times New Roman" w:eastAsia="方正小标宋_GBK" w:cs="Times New Roman"/>
                <w:color w:val="FF0000"/>
                <w:sz w:val="52"/>
                <w:szCs w:val="52"/>
              </w:rPr>
            </w:pPr>
          </w:p>
        </w:tc>
        <w:tc>
          <w:tcPr>
            <w:tcW w:w="903" w:type="pct"/>
            <w:vAlign w:val="center"/>
          </w:tcPr>
          <w:p w14:paraId="25C8E526">
            <w:pPr>
              <w:tabs>
                <w:tab w:val="left" w:pos="1130"/>
              </w:tabs>
              <w:snapToGrid w:val="0"/>
              <w:spacing w:line="240" w:lineRule="atLeast"/>
              <w:ind w:left="-42" w:leftChars="-20" w:right="-105" w:rightChars="-50"/>
              <w:rPr>
                <w:rFonts w:ascii="方正小标宋_GBK" w:eastAsia="方正小标宋_GBK" w:cs="Times New Roman"/>
                <w:color w:val="FF0000"/>
                <w:sz w:val="80"/>
                <w:szCs w:val="80"/>
              </w:rPr>
            </w:pPr>
            <w:r>
              <w:rPr>
                <w:rFonts w:hint="eastAsia" w:ascii="Times New Roman" w:hAnsi="Times New Roman" w:eastAsia="方正小标宋_GBK" w:cs="方正小标宋_GBK"/>
                <w:color w:val="FF0000"/>
                <w:sz w:val="72"/>
                <w:szCs w:val="72"/>
              </w:rPr>
              <w:t>文件</w:t>
            </w:r>
          </w:p>
        </w:tc>
      </w:tr>
    </w:tbl>
    <w:p w14:paraId="2A042CE2">
      <w:pPr>
        <w:spacing w:line="520" w:lineRule="exact"/>
        <w:jc w:val="center"/>
        <w:rPr>
          <w:rFonts w:eastAsia="仿宋_GB2312" w:cs="Times New Roman"/>
          <w:sz w:val="32"/>
          <w:szCs w:val="32"/>
        </w:rPr>
      </w:pPr>
    </w:p>
    <w:p w14:paraId="103AD8C6">
      <w:pPr>
        <w:spacing w:line="5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淮商建〔202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号</w:t>
      </w:r>
    </w:p>
    <w:p w14:paraId="489C2904">
      <w:pPr>
        <w:spacing w:line="1000" w:lineRule="exact"/>
        <w:rPr>
          <w:rFonts w:ascii="方正小标宋_GBK" w:eastAsia="方正小标宋_GBK" w:cs="Times New Roman"/>
        </w:rPr>
      </w:pPr>
      <w: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60960</wp:posOffset>
                </wp:positionV>
                <wp:extent cx="6400800" cy="0"/>
                <wp:effectExtent l="0" t="10795" r="0" b="17780"/>
                <wp:wrapNone/>
                <wp:docPr id="1" name="直线 3"/>
                <wp:cNvGraphicFramePr/>
                <a:graphic xmlns:a="http://schemas.openxmlformats.org/drawingml/2006/main">
                  <a:graphicData uri="http://schemas.microsoft.com/office/word/2010/wordprocessingShape">
                    <wps:wsp>
                      <wps:cNvSpPr/>
                      <wps:spPr>
                        <a:xfrm>
                          <a:off x="0" y="0"/>
                          <a:ext cx="6400800" cy="0"/>
                        </a:xfrm>
                        <a:prstGeom prst="line">
                          <a:avLst/>
                        </a:prstGeom>
                        <a:ln w="22225" cap="flat" cmpd="sng">
                          <a:solidFill>
                            <a:srgbClr val="FF0000"/>
                          </a:solidFill>
                          <a:prstDash val="solid"/>
                          <a:miter/>
                          <a:headEnd type="none" w="med" len="med"/>
                          <a:tailEnd type="none" w="med" len="med"/>
                        </a:ln>
                      </wps:spPr>
                      <wps:bodyPr upright="1"/>
                    </wps:wsp>
                  </a:graphicData>
                </a:graphic>
              </wp:anchor>
            </w:drawing>
          </mc:Choice>
          <mc:Fallback>
            <w:pict>
              <v:line id="直线 3" o:spid="_x0000_s1026" o:spt="20" style="position:absolute;left:0pt;margin-left:-27pt;margin-top:4.8pt;height:0pt;width:504pt;z-index:251659264;mso-width-relative:page;mso-height-relative:page;" filled="f" stroked="t" coordsize="21600,21600" o:gfxdata="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iMt&#10;FtQAAAAHAQAADwAAAAAAAAABACAAAAAiAAAAZHJzL2Rvd25yZXYueG1sUEsBAhQAFAAAAAgAh07i&#10;QG9TfmvtAQAA5gMAAA4AAAAAAAAAAQAgAAAAIwEAAGRycy9lMm9Eb2MueG1sUEsFBgAAAAAGAAYA&#10;WQEAAIIFAAAAAA==&#10;">
                <v:fill on="f" focussize="0,0"/>
                <v:stroke weight="1.75pt" color="#FF0000" joinstyle="miter"/>
                <v:imagedata o:title=""/>
                <o:lock v:ext="edit" aspectratio="f"/>
              </v:line>
            </w:pict>
          </mc:Fallback>
        </mc:AlternateContent>
      </w:r>
    </w:p>
    <w:p w14:paraId="51BBF9B7">
      <w:pPr>
        <w:overflowPunct w:val="0"/>
        <w:spacing w:line="60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关于印发《淮安市报废机动车回收拆解企业</w:t>
      </w:r>
    </w:p>
    <w:p w14:paraId="2F6638D9">
      <w:pPr>
        <w:overflowPunct w:val="0"/>
        <w:spacing w:line="60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双随机联合检查方案》的通知</w:t>
      </w:r>
    </w:p>
    <w:p w14:paraId="608E1EB7">
      <w:pPr>
        <w:spacing w:line="560" w:lineRule="exact"/>
        <w:rPr>
          <w:rFonts w:ascii="仿宋_GB2312" w:eastAsia="仿宋_GB2312" w:cs="Times New Roman"/>
          <w:sz w:val="32"/>
          <w:szCs w:val="32"/>
        </w:rPr>
      </w:pPr>
    </w:p>
    <w:p w14:paraId="507E59FD">
      <w:pPr>
        <w:spacing w:line="560" w:lineRule="exact"/>
        <w:rPr>
          <w:rFonts w:ascii="Times New Roman" w:hAnsi="Times New Roman" w:eastAsia="仿宋_GB2312" w:cs="Times New Roman"/>
          <w:sz w:val="32"/>
          <w:szCs w:val="32"/>
        </w:rPr>
      </w:pPr>
      <w:r>
        <w:rPr>
          <w:rFonts w:hint="eastAsia" w:ascii="Times New Roman" w:hAnsi="Times New Roman" w:eastAsia="仿宋_GB2312" w:cs="仿宋_GB2312"/>
          <w:sz w:val="32"/>
          <w:szCs w:val="32"/>
          <w:lang w:eastAsia="zh-CN"/>
        </w:rPr>
        <w:t>各县区（园区）</w:t>
      </w:r>
      <w:r>
        <w:rPr>
          <w:rFonts w:hint="eastAsia" w:ascii="Times New Roman" w:hAnsi="Times New Roman" w:eastAsia="仿宋_GB2312" w:cs="仿宋_GB2312"/>
          <w:sz w:val="32"/>
          <w:szCs w:val="32"/>
        </w:rPr>
        <w:t>商务、公安、生态环境</w:t>
      </w:r>
      <w:r>
        <w:rPr>
          <w:rFonts w:hint="eastAsia" w:ascii="Times New Roman" w:hAnsi="Times New Roman" w:eastAsia="仿宋_GB2312" w:cs="仿宋_GB2312"/>
          <w:sz w:val="32"/>
          <w:szCs w:val="32"/>
          <w:lang w:eastAsia="zh-CN"/>
        </w:rPr>
        <w:t>主管部门</w:t>
      </w:r>
      <w:r>
        <w:rPr>
          <w:rFonts w:hint="eastAsia" w:ascii="Times New Roman" w:hAnsi="Times New Roman" w:eastAsia="仿宋_GB2312" w:cs="仿宋_GB2312"/>
          <w:sz w:val="32"/>
          <w:szCs w:val="32"/>
        </w:rPr>
        <w:t>：</w:t>
      </w:r>
    </w:p>
    <w:p w14:paraId="1081E2D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现将《淮安市报废机动车回收拆解企业双随机联合检查方案》印发给你们，请遵照执行。</w:t>
      </w:r>
    </w:p>
    <w:p w14:paraId="51F9339C">
      <w:pPr>
        <w:spacing w:line="560" w:lineRule="exact"/>
        <w:ind w:firstLine="640" w:firstLineChars="200"/>
        <w:rPr>
          <w:rFonts w:ascii="Times New Roman" w:hAnsi="Times New Roman" w:eastAsia="仿宋_GB2312" w:cs="Times New Roman"/>
          <w:sz w:val="32"/>
          <w:szCs w:val="32"/>
        </w:rPr>
      </w:pPr>
    </w:p>
    <w:p w14:paraId="09A47F4E">
      <w:pPr>
        <w:spacing w:line="560" w:lineRule="exact"/>
        <w:ind w:firstLine="640" w:firstLineChars="200"/>
        <w:rPr>
          <w:rFonts w:ascii="Times New Roman" w:hAnsi="Times New Roman" w:eastAsia="仿宋_GB2312" w:cs="Times New Roman"/>
          <w:sz w:val="32"/>
          <w:szCs w:val="32"/>
        </w:rPr>
      </w:pPr>
    </w:p>
    <w:p w14:paraId="6042963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淮安市商务局</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淮安市公安局</w:t>
      </w:r>
    </w:p>
    <w:p w14:paraId="6A4928BB">
      <w:pPr>
        <w:spacing w:line="560" w:lineRule="exact"/>
        <w:rPr>
          <w:rFonts w:ascii="Times New Roman" w:hAnsi="Times New Roman" w:eastAsia="仿宋_GB2312" w:cs="Times New Roman"/>
          <w:sz w:val="32"/>
          <w:szCs w:val="32"/>
        </w:rPr>
      </w:pPr>
    </w:p>
    <w:p w14:paraId="12037EB7">
      <w:pPr>
        <w:spacing w:line="560" w:lineRule="exact"/>
        <w:rPr>
          <w:rFonts w:ascii="Times New Roman" w:hAnsi="Times New Roman" w:eastAsia="仿宋_GB2312" w:cs="Times New Roman"/>
          <w:sz w:val="32"/>
          <w:szCs w:val="32"/>
        </w:rPr>
      </w:pPr>
    </w:p>
    <w:p w14:paraId="50B8DCDD">
      <w:pPr>
        <w:spacing w:line="560" w:lineRule="exact"/>
        <w:ind w:firstLine="5120" w:firstLineChars="16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淮安市生态环境局</w:t>
      </w:r>
    </w:p>
    <w:p w14:paraId="68F8BA98">
      <w:pPr>
        <w:overflowPunct w:val="0"/>
        <w:spacing w:line="560" w:lineRule="exact"/>
        <w:ind w:firstLine="5120" w:firstLineChars="16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Times New Roman"/>
          <w:sz w:val="32"/>
          <w:szCs w:val="32"/>
          <w:lang w:val="en-US" w:eastAsia="zh-CN"/>
        </w:rPr>
        <w:t xml:space="preserve"> 18 </w:t>
      </w:r>
      <w:r>
        <w:rPr>
          <w:rFonts w:hint="eastAsia" w:ascii="Times New Roman" w:hAnsi="Times New Roman" w:eastAsia="仿宋_GB2312" w:cs="仿宋_GB2312"/>
          <w:sz w:val="32"/>
          <w:szCs w:val="32"/>
        </w:rPr>
        <w:t>日</w:t>
      </w:r>
    </w:p>
    <w:p w14:paraId="269BB58F">
      <w:pPr>
        <w:pStyle w:val="3"/>
        <w:spacing w:line="660" w:lineRule="exact"/>
        <w:ind w:firstLine="640" w:firstLineChars="200"/>
        <w:rPr>
          <w:rFonts w:hint="eastAsia" w:eastAsia="宋体" w:cs="Times New Roman"/>
          <w:color w:val="000000" w:themeColor="text1"/>
          <w:lang w:eastAsia="zh-CN"/>
        </w:rPr>
      </w:pPr>
      <w:r>
        <w:rPr>
          <w:rFonts w:hint="eastAsia" w:ascii="Times New Roman" w:hAnsi="Times New Roman" w:eastAsia="仿宋_GB2312" w:cs="仿宋_GB2312"/>
          <w:color w:val="auto"/>
          <w:kern w:val="2"/>
          <w:sz w:val="32"/>
          <w:szCs w:val="32"/>
          <w:lang w:val="en-US" w:eastAsia="zh-CN" w:bidi="ar-SA"/>
        </w:rPr>
        <w:t>（此页无正文）</w:t>
      </w:r>
    </w:p>
    <w:p w14:paraId="575E781E">
      <w:pPr>
        <w:pStyle w:val="3"/>
        <w:spacing w:line="660" w:lineRule="exact"/>
        <w:rPr>
          <w:rFonts w:cs="Times New Roman"/>
        </w:rPr>
      </w:pPr>
    </w:p>
    <w:p w14:paraId="7A80DC75">
      <w:pPr>
        <w:pStyle w:val="3"/>
        <w:spacing w:line="660" w:lineRule="exact"/>
        <w:rPr>
          <w:rFonts w:cs="Times New Roman"/>
        </w:rPr>
      </w:pPr>
    </w:p>
    <w:p w14:paraId="60E83F45">
      <w:pPr>
        <w:pStyle w:val="3"/>
        <w:spacing w:line="660" w:lineRule="exact"/>
        <w:rPr>
          <w:rFonts w:cs="Times New Roman"/>
        </w:rPr>
      </w:pPr>
    </w:p>
    <w:p w14:paraId="7E52647C">
      <w:pPr>
        <w:pStyle w:val="3"/>
        <w:spacing w:line="660" w:lineRule="exact"/>
        <w:rPr>
          <w:rFonts w:cs="Times New Roman"/>
        </w:rPr>
      </w:pPr>
    </w:p>
    <w:p w14:paraId="6D3B9B89">
      <w:pPr>
        <w:pStyle w:val="3"/>
        <w:spacing w:line="660" w:lineRule="exact"/>
        <w:rPr>
          <w:rFonts w:cs="Times New Roman"/>
        </w:rPr>
      </w:pPr>
    </w:p>
    <w:p w14:paraId="68915A33">
      <w:pPr>
        <w:pStyle w:val="3"/>
        <w:spacing w:line="660" w:lineRule="exact"/>
        <w:rPr>
          <w:rFonts w:cs="Times New Roman"/>
        </w:rPr>
      </w:pPr>
    </w:p>
    <w:p w14:paraId="4C24A82C">
      <w:pPr>
        <w:pStyle w:val="3"/>
        <w:spacing w:line="660" w:lineRule="exact"/>
        <w:rPr>
          <w:rFonts w:cs="Times New Roman"/>
        </w:rPr>
      </w:pPr>
    </w:p>
    <w:p w14:paraId="54A40347">
      <w:pPr>
        <w:pStyle w:val="3"/>
        <w:spacing w:line="660" w:lineRule="exact"/>
        <w:rPr>
          <w:rFonts w:cs="Times New Roman"/>
        </w:rPr>
      </w:pPr>
    </w:p>
    <w:p w14:paraId="285E0A2A">
      <w:pPr>
        <w:pStyle w:val="3"/>
        <w:spacing w:line="660" w:lineRule="exact"/>
        <w:rPr>
          <w:rFonts w:cs="Times New Roman"/>
        </w:rPr>
      </w:pPr>
    </w:p>
    <w:p w14:paraId="580D4B42">
      <w:pPr>
        <w:pStyle w:val="3"/>
        <w:spacing w:line="660" w:lineRule="exact"/>
        <w:rPr>
          <w:rFonts w:cs="Times New Roman"/>
        </w:rPr>
      </w:pPr>
    </w:p>
    <w:p w14:paraId="19E1B18A">
      <w:pPr>
        <w:pStyle w:val="3"/>
        <w:spacing w:line="660" w:lineRule="exact"/>
        <w:rPr>
          <w:rFonts w:cs="Times New Roman"/>
        </w:rPr>
      </w:pPr>
    </w:p>
    <w:p w14:paraId="442D3D85">
      <w:pPr>
        <w:pStyle w:val="3"/>
        <w:spacing w:line="660" w:lineRule="exact"/>
        <w:rPr>
          <w:rFonts w:cs="Times New Roman"/>
        </w:rPr>
      </w:pPr>
    </w:p>
    <w:p w14:paraId="394DC370">
      <w:pPr>
        <w:pStyle w:val="3"/>
        <w:spacing w:line="660" w:lineRule="exact"/>
        <w:rPr>
          <w:rFonts w:cs="Times New Roman"/>
        </w:rPr>
      </w:pPr>
    </w:p>
    <w:p w14:paraId="62312AD1">
      <w:pPr>
        <w:pStyle w:val="3"/>
        <w:spacing w:line="660" w:lineRule="exact"/>
        <w:rPr>
          <w:rFonts w:cs="Times New Roman"/>
        </w:rPr>
      </w:pPr>
    </w:p>
    <w:p w14:paraId="4E655736">
      <w:pPr>
        <w:pStyle w:val="3"/>
        <w:spacing w:line="660" w:lineRule="exact"/>
        <w:rPr>
          <w:rFonts w:cs="Times New Roman"/>
        </w:rPr>
      </w:pPr>
    </w:p>
    <w:p w14:paraId="73605B76">
      <w:pPr>
        <w:pStyle w:val="3"/>
        <w:spacing w:line="660" w:lineRule="exact"/>
        <w:rPr>
          <w:rFonts w:cs="Times New Roman"/>
        </w:rPr>
      </w:pPr>
    </w:p>
    <w:p w14:paraId="79D53B4B">
      <w:pPr>
        <w:pStyle w:val="3"/>
        <w:spacing w:line="660" w:lineRule="exact"/>
        <w:rPr>
          <w:rFonts w:cs="Times New Roman"/>
        </w:rPr>
      </w:pPr>
    </w:p>
    <w:p w14:paraId="14E296D6">
      <w:pPr>
        <w:pStyle w:val="3"/>
        <w:spacing w:line="660" w:lineRule="exact"/>
        <w:rPr>
          <w:rFonts w:cs="Times New Roman"/>
        </w:rPr>
      </w:pPr>
    </w:p>
    <w:p w14:paraId="03F50D29">
      <w:pPr>
        <w:pStyle w:val="3"/>
        <w:spacing w:line="660" w:lineRule="exact"/>
        <w:rPr>
          <w:rFonts w:cs="Times New Roman"/>
        </w:rPr>
      </w:pPr>
      <w:bookmarkStart w:id="0" w:name="_GoBack"/>
      <w:bookmarkEnd w:id="0"/>
    </w:p>
    <w:p w14:paraId="7E9CA666">
      <w:pPr>
        <w:pBdr>
          <w:top w:val="single" w:color="auto" w:sz="6" w:space="0"/>
          <w:bottom w:val="single" w:color="auto" w:sz="6" w:space="1"/>
        </w:pBdr>
        <w:ind w:firstLine="280" w:firstLineChars="100"/>
        <w:rPr>
          <w:rFonts w:hint="default" w:ascii="Times New Roman" w:hAnsi="Times New Roman" w:eastAsia="黑体" w:cs="Times New Roman"/>
          <w:sz w:val="32"/>
          <w:szCs w:val="32"/>
        </w:rPr>
      </w:pPr>
      <w:r>
        <w:rPr>
          <w:rFonts w:hint="default" w:ascii="Times New Roman" w:hAnsi="Times New Roman" w:eastAsia="方正仿宋_GBK" w:cs="Times New Roman"/>
          <w:sz w:val="28"/>
          <w:szCs w:val="28"/>
        </w:rPr>
        <w:t>淮安市商务局办公室                202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 xml:space="preserve"> 18 </w:t>
      </w:r>
      <w:r>
        <w:rPr>
          <w:rFonts w:hint="default" w:ascii="Times New Roman" w:hAnsi="Times New Roman" w:eastAsia="方正仿宋_GBK" w:cs="Times New Roman"/>
          <w:sz w:val="28"/>
          <w:szCs w:val="28"/>
        </w:rPr>
        <w:t>日印发</w:t>
      </w:r>
    </w:p>
    <w:p w14:paraId="6D17BAA8">
      <w:pPr>
        <w:keepNext w:val="0"/>
        <w:keepLines w:val="0"/>
        <w:pageBreakBefore w:val="0"/>
        <w:widowControl w:val="0"/>
        <w:kinsoku/>
        <w:wordWrap/>
        <w:overflowPunct w:val="0"/>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rPr>
      </w:pPr>
    </w:p>
    <w:p w14:paraId="3B8777C0">
      <w:pPr>
        <w:keepNext w:val="0"/>
        <w:keepLines w:val="0"/>
        <w:pageBreakBefore w:val="0"/>
        <w:widowControl w:val="0"/>
        <w:kinsoku/>
        <w:wordWrap/>
        <w:overflowPunct w:val="0"/>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rPr>
      </w:pPr>
    </w:p>
    <w:p w14:paraId="1967F560">
      <w:pPr>
        <w:overflowPunct w:val="0"/>
        <w:spacing w:line="64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淮安市报废机动车回收拆解企业</w:t>
      </w:r>
    </w:p>
    <w:p w14:paraId="537CD668">
      <w:pPr>
        <w:overflowPunct w:val="0"/>
        <w:spacing w:line="64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双随机联合检查方案</w:t>
      </w:r>
    </w:p>
    <w:p w14:paraId="42400D12">
      <w:pPr>
        <w:overflowPunct w:val="0"/>
        <w:spacing w:line="560" w:lineRule="exact"/>
        <w:ind w:firstLine="640"/>
        <w:rPr>
          <w:rFonts w:ascii="仿宋_GB2312" w:eastAsia="仿宋_GB2312" w:cs="Times New Roman"/>
          <w:sz w:val="32"/>
          <w:szCs w:val="32"/>
        </w:rPr>
      </w:pPr>
    </w:p>
    <w:p w14:paraId="0EE5B73E">
      <w:pPr>
        <w:overflowPunct w:val="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为进一步转变监管理念、创新监管方式，完善“双随机、一公开”监管工作机制，切实减轻企业负担，持续优化营商环境，决定由市商务局、公安局、生态环境局联合开展报废机动车回收拆解企业双随机联合检查，制订方案如下：</w:t>
      </w:r>
    </w:p>
    <w:p w14:paraId="798281B6">
      <w:pPr>
        <w:overflowPunct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一、检查时间</w:t>
      </w:r>
    </w:p>
    <w:p w14:paraId="2698486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检查对象抽取于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仿宋_GB2312"/>
          <w:sz w:val="32"/>
          <w:szCs w:val="32"/>
        </w:rPr>
        <w:t>日前完成，检查任务于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仿宋_GB2312"/>
          <w:sz w:val="32"/>
          <w:szCs w:val="32"/>
        </w:rPr>
        <w:t>日前完成。</w:t>
      </w:r>
    </w:p>
    <w:p w14:paraId="65486CAA">
      <w:pPr>
        <w:overflowPunct w:val="0"/>
        <w:spacing w:line="560" w:lineRule="exact"/>
        <w:ind w:firstLine="640"/>
        <w:rPr>
          <w:rFonts w:ascii="Times New Roman" w:hAnsi="Times New Roman" w:eastAsia="黑体" w:cs="Times New Roman"/>
          <w:sz w:val="32"/>
          <w:szCs w:val="32"/>
        </w:rPr>
      </w:pPr>
      <w:r>
        <w:rPr>
          <w:rFonts w:hint="eastAsia" w:ascii="Times New Roman" w:hAnsi="Times New Roman" w:eastAsia="黑体" w:cs="黑体"/>
          <w:sz w:val="32"/>
          <w:szCs w:val="32"/>
        </w:rPr>
        <w:t>二、主要任务</w:t>
      </w:r>
    </w:p>
    <w:p w14:paraId="34C3BEE9">
      <w:pPr>
        <w:overflowPunct w:val="0"/>
        <w:spacing w:line="56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（一）检查对象及检查比例</w:t>
      </w:r>
    </w:p>
    <w:p w14:paraId="7DD25EA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检查对象：</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日前本市已取得报废机动车回收拆解资质的法人机构。</w:t>
      </w:r>
    </w:p>
    <w:p w14:paraId="7A5D214D">
      <w:pPr>
        <w:overflowPunct w:val="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检查比例：按照</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仿宋_GB2312"/>
          <w:sz w:val="32"/>
          <w:szCs w:val="32"/>
        </w:rPr>
        <w:t>％的比例进行抽取。</w:t>
      </w:r>
    </w:p>
    <w:p w14:paraId="17FC075C">
      <w:pPr>
        <w:overflowPunct w:val="0"/>
        <w:spacing w:line="56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（二）检查内容</w:t>
      </w:r>
    </w:p>
    <w:p w14:paraId="2320D8E2">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检查报废机动车回收拆解企业是否按照《江苏省报废机动车回收管理实施办法》《报废机动车回收拆解企业技术规范》等法规回收、储存、预处理、拆解报废车；是否按照《固体废物污染环境防治法》《报废机动车拆解</w:t>
      </w:r>
      <w:r>
        <w:rPr>
          <w:rFonts w:hint="eastAsia" w:ascii="Times New Roman" w:hAnsi="Times New Roman" w:eastAsia="仿宋_GB2312" w:cs="仿宋_GB2312"/>
          <w:sz w:val="32"/>
          <w:szCs w:val="32"/>
          <w:lang w:eastAsia="zh-CN"/>
        </w:rPr>
        <w:t>企业污染控制</w:t>
      </w:r>
      <w:r>
        <w:rPr>
          <w:rFonts w:hint="eastAsia" w:ascii="Times New Roman" w:hAnsi="Times New Roman" w:eastAsia="仿宋_GB2312" w:cs="仿宋_GB2312"/>
          <w:sz w:val="32"/>
          <w:szCs w:val="32"/>
        </w:rPr>
        <w:t>技术规范》等法律法规做好污染环境防治工作；是否按照监管要求申报、贮存、转移、利用处置危险废物。</w:t>
      </w:r>
    </w:p>
    <w:p w14:paraId="2DA3ECD3">
      <w:pPr>
        <w:overflowPunct w:val="0"/>
        <w:spacing w:line="56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（三）检查程序</w:t>
      </w:r>
    </w:p>
    <w:p w14:paraId="3AC1FF7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、本次部门联合检查的单位分别在江苏省市场监管信息平台上完善“一单两库”。</w:t>
      </w:r>
    </w:p>
    <w:p w14:paraId="2C9C322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、本次部门联合检查的牵头部门市商务局在江苏省市场监管信息平台内统一制定部门联合检查计划和任务，组成</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个检查组，各部门执法人员数均为</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人。</w:t>
      </w:r>
    </w:p>
    <w:p w14:paraId="2071FC53">
      <w:pPr>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联合检查组人员用本人手机号作为工号登录江苏省市场监管信息平台，进入双随机检查系统，打印检查表，结合各部门检查事项清单，依法定程序、工作规范、工作流程开展检查。检查完成后，检查人员对检查结果签字确认。</w:t>
      </w:r>
    </w:p>
    <w:p w14:paraId="121725BD">
      <w:pPr>
        <w:overflowPunct w:val="0"/>
        <w:spacing w:line="560" w:lineRule="exact"/>
        <w:ind w:firstLine="640"/>
        <w:rPr>
          <w:rFonts w:ascii="Times New Roman" w:hAnsi="Times New Roman" w:eastAsia="黑体" w:cs="Times New Roman"/>
          <w:sz w:val="32"/>
          <w:szCs w:val="32"/>
        </w:rPr>
      </w:pPr>
      <w:r>
        <w:rPr>
          <w:rFonts w:hint="eastAsia" w:ascii="Times New Roman" w:hAnsi="Times New Roman" w:eastAsia="黑体" w:cs="黑体"/>
          <w:sz w:val="32"/>
          <w:szCs w:val="32"/>
        </w:rPr>
        <w:t>三、有关事项</w:t>
      </w:r>
    </w:p>
    <w:p w14:paraId="072F5FE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、本次双随机将通过统一组织实施，做到进一次门、查多项事，从源头上阻止多头重复检查。</w:t>
      </w:r>
    </w:p>
    <w:p w14:paraId="7EA288D2">
      <w:pPr>
        <w:overflowPunct w:val="0"/>
        <w:spacing w:line="560" w:lineRule="exact"/>
        <w:ind w:firstLine="640" w:firstLineChars="200"/>
        <w:rPr>
          <w:rFonts w:hint="eastAsia" w:ascii="Times New Roman" w:hAnsi="Times New Roman" w:eastAsia="仿宋_GB2312" w:cs="仿宋_GB2312"/>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、检查结束后，市商务局、公安局、生态环境局做好信息汇总工作及本次联合检查的工作总结，并将检查结果于</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个工作日内录入省市场监管信息平台。</w:t>
      </w:r>
    </w:p>
    <w:p w14:paraId="115E2C7D">
      <w:pPr>
        <w:overflowPunct w:val="0"/>
        <w:spacing w:line="560" w:lineRule="exact"/>
        <w:ind w:firstLine="640" w:firstLineChars="200"/>
        <w:rPr>
          <w:rFonts w:ascii="Times New Roman" w:hAnsi="Times New Roman" w:eastAsia="仿宋_GB2312" w:cs="Times New Roman"/>
          <w:sz w:val="32"/>
          <w:szCs w:val="32"/>
        </w:rPr>
      </w:pPr>
    </w:p>
    <w:p w14:paraId="4061ACB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附件：报废机动车回收拆解企业检查内容</w:t>
      </w:r>
    </w:p>
    <w:p w14:paraId="556DD332">
      <w:pPr>
        <w:overflowPunct w:val="0"/>
        <w:spacing w:line="560" w:lineRule="exact"/>
        <w:ind w:firstLine="640" w:firstLineChars="200"/>
        <w:rPr>
          <w:rFonts w:ascii="Times New Roman" w:hAnsi="Times New Roman" w:eastAsia="仿宋_GB2312" w:cs="Times New Roman"/>
          <w:sz w:val="32"/>
          <w:szCs w:val="32"/>
        </w:rPr>
      </w:pPr>
    </w:p>
    <w:p w14:paraId="012B2CB0">
      <w:pPr>
        <w:overflowPunct w:val="0"/>
        <w:spacing w:line="560" w:lineRule="exact"/>
        <w:ind w:firstLine="640" w:firstLineChars="200"/>
        <w:rPr>
          <w:rFonts w:ascii="Times New Roman" w:hAnsi="Times New Roman" w:eastAsia="仿宋_GB2312" w:cs="Times New Roman"/>
          <w:sz w:val="32"/>
          <w:szCs w:val="32"/>
        </w:rPr>
      </w:pPr>
    </w:p>
    <w:p w14:paraId="2ED131B4">
      <w:pPr>
        <w:overflowPunct w:val="0"/>
        <w:spacing w:line="560" w:lineRule="exact"/>
        <w:ind w:firstLine="640" w:firstLineChars="200"/>
        <w:rPr>
          <w:rFonts w:ascii="Times New Roman" w:hAnsi="Times New Roman" w:eastAsia="仿宋_GB2312" w:cs="Times New Roman"/>
          <w:sz w:val="32"/>
          <w:szCs w:val="32"/>
        </w:rPr>
      </w:pPr>
    </w:p>
    <w:p w14:paraId="77774C6E">
      <w:pPr>
        <w:overflowPunct w:val="0"/>
        <w:spacing w:line="560" w:lineRule="exact"/>
        <w:ind w:firstLine="640" w:firstLineChars="200"/>
        <w:rPr>
          <w:rFonts w:ascii="Times New Roman" w:hAnsi="Times New Roman" w:eastAsia="仿宋_GB2312" w:cs="Times New Roman"/>
          <w:sz w:val="32"/>
          <w:szCs w:val="32"/>
        </w:rPr>
      </w:pPr>
    </w:p>
    <w:p w14:paraId="47651450">
      <w:pPr>
        <w:overflowPunct w:val="0"/>
        <w:spacing w:line="560" w:lineRule="exact"/>
        <w:ind w:firstLine="640" w:firstLineChars="200"/>
        <w:rPr>
          <w:rFonts w:ascii="Times New Roman" w:hAnsi="Times New Roman" w:eastAsia="仿宋_GB2312" w:cs="Times New Roman"/>
          <w:sz w:val="32"/>
          <w:szCs w:val="32"/>
        </w:rPr>
      </w:pPr>
    </w:p>
    <w:p w14:paraId="17FD2F93">
      <w:pPr>
        <w:overflowPunct w:val="0"/>
        <w:spacing w:line="560" w:lineRule="exact"/>
        <w:ind w:firstLine="640" w:firstLineChars="200"/>
        <w:rPr>
          <w:rFonts w:ascii="Times New Roman" w:hAnsi="Times New Roman" w:eastAsia="仿宋_GB2312" w:cs="Times New Roman"/>
          <w:sz w:val="32"/>
          <w:szCs w:val="32"/>
        </w:rPr>
      </w:pPr>
    </w:p>
    <w:p w14:paraId="7081D801">
      <w:pPr>
        <w:overflowPunct w:val="0"/>
        <w:spacing w:line="560" w:lineRule="exact"/>
        <w:ind w:firstLine="640" w:firstLineChars="200"/>
        <w:rPr>
          <w:rFonts w:ascii="黑体" w:hAnsi="黑体" w:eastAsia="黑体" w:cs="Times New Roman"/>
          <w:sz w:val="32"/>
          <w:szCs w:val="32"/>
        </w:rPr>
        <w:sectPr>
          <w:footerReference r:id="rId3" w:type="default"/>
          <w:pgSz w:w="11906" w:h="16838"/>
          <w:pgMar w:top="1440" w:right="1803" w:bottom="1440" w:left="1803" w:header="851" w:footer="992" w:gutter="0"/>
          <w:cols w:space="0" w:num="1"/>
          <w:docGrid w:type="lines" w:linePitch="319" w:charSpace="0"/>
        </w:sectPr>
      </w:pPr>
    </w:p>
    <w:p w14:paraId="42F27FEE">
      <w:pPr>
        <w:overflowPunct w:val="0"/>
        <w:spacing w:line="560" w:lineRule="exact"/>
        <w:rPr>
          <w:rFonts w:ascii="仿宋_GB2312" w:hAnsi="黑体" w:eastAsia="仿宋_GB2312" w:cs="Times New Roman"/>
          <w:sz w:val="32"/>
          <w:szCs w:val="32"/>
        </w:rPr>
      </w:pPr>
      <w:r>
        <w:rPr>
          <w:rFonts w:hint="eastAsia" w:ascii="仿宋_GB2312" w:hAnsi="黑体" w:eastAsia="仿宋_GB2312" w:cs="仿宋_GB2312"/>
          <w:sz w:val="32"/>
          <w:szCs w:val="32"/>
        </w:rPr>
        <w:t>附件</w:t>
      </w:r>
    </w:p>
    <w:p w14:paraId="452B0A7C">
      <w:pPr>
        <w:overflowPunct w:val="0"/>
        <w:spacing w:line="60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报废机动车回收拆解企业检查内容</w:t>
      </w:r>
    </w:p>
    <w:p w14:paraId="3128E297">
      <w:pPr>
        <w:ind w:firstLine="280" w:firstLineChars="100"/>
        <w:jc w:val="left"/>
        <w:rPr>
          <w:rFonts w:ascii="楷体" w:hAnsi="楷体" w:eastAsia="楷体" w:cs="Times New Roman"/>
          <w:sz w:val="28"/>
          <w:szCs w:val="28"/>
        </w:rPr>
      </w:pPr>
      <w:r>
        <w:rPr>
          <w:rFonts w:hint="eastAsia" w:ascii="楷体" w:hAnsi="楷体" w:eastAsia="楷体" w:cs="楷体"/>
          <w:sz w:val="28"/>
          <w:szCs w:val="28"/>
        </w:rPr>
        <w:t>企业名称：</w:t>
      </w:r>
      <w:r>
        <w:rPr>
          <w:rFonts w:ascii="楷体" w:hAnsi="楷体" w:eastAsia="楷体" w:cs="楷体"/>
          <w:sz w:val="28"/>
          <w:szCs w:val="28"/>
        </w:rPr>
        <w:t xml:space="preserve">                                                                </w:t>
      </w:r>
      <w:r>
        <w:rPr>
          <w:rFonts w:hint="eastAsia" w:ascii="楷体" w:hAnsi="楷体" w:eastAsia="楷体" w:cs="楷体"/>
          <w:sz w:val="28"/>
          <w:szCs w:val="28"/>
        </w:rPr>
        <w:t>检查日期：</w:t>
      </w:r>
    </w:p>
    <w:tbl>
      <w:tblPr>
        <w:tblStyle w:val="6"/>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6876"/>
        <w:gridCol w:w="2835"/>
        <w:gridCol w:w="2867"/>
      </w:tblGrid>
      <w:tr w14:paraId="336D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3" w:type="pct"/>
            <w:vAlign w:val="center"/>
          </w:tcPr>
          <w:p w14:paraId="549F0AFC">
            <w:pPr>
              <w:jc w:val="center"/>
              <w:rPr>
                <w:rFonts w:ascii="黑体" w:hAnsi="黑体" w:eastAsia="黑体" w:cs="Times New Roman"/>
                <w:sz w:val="32"/>
                <w:szCs w:val="32"/>
              </w:rPr>
            </w:pPr>
            <w:r>
              <w:rPr>
                <w:rFonts w:hint="eastAsia" w:ascii="黑体" w:hAnsi="黑体" w:eastAsia="黑体" w:cs="黑体"/>
                <w:sz w:val="32"/>
                <w:szCs w:val="32"/>
              </w:rPr>
              <w:t>分类</w:t>
            </w:r>
          </w:p>
        </w:tc>
        <w:tc>
          <w:tcPr>
            <w:tcW w:w="2425" w:type="pct"/>
          </w:tcPr>
          <w:p w14:paraId="0E0D0671">
            <w:pPr>
              <w:jc w:val="center"/>
              <w:rPr>
                <w:rFonts w:ascii="黑体" w:hAnsi="黑体" w:eastAsia="黑体" w:cs="Times New Roman"/>
                <w:sz w:val="32"/>
                <w:szCs w:val="32"/>
              </w:rPr>
            </w:pPr>
            <w:r>
              <w:rPr>
                <w:rFonts w:hint="eastAsia" w:ascii="黑体" w:hAnsi="黑体" w:eastAsia="黑体" w:cs="黑体"/>
                <w:sz w:val="32"/>
                <w:szCs w:val="32"/>
              </w:rPr>
              <w:t>检查内容</w:t>
            </w:r>
          </w:p>
        </w:tc>
        <w:tc>
          <w:tcPr>
            <w:tcW w:w="2011" w:type="pct"/>
            <w:gridSpan w:val="2"/>
          </w:tcPr>
          <w:p w14:paraId="6B0FF97A">
            <w:pPr>
              <w:jc w:val="center"/>
              <w:rPr>
                <w:rFonts w:ascii="黑体" w:hAnsi="黑体" w:eastAsia="黑体" w:cs="Times New Roman"/>
                <w:sz w:val="32"/>
                <w:szCs w:val="32"/>
              </w:rPr>
            </w:pPr>
            <w:r>
              <w:rPr>
                <w:rFonts w:hint="eastAsia" w:ascii="黑体" w:hAnsi="黑体" w:eastAsia="黑体" w:cs="黑体"/>
                <w:sz w:val="32"/>
                <w:szCs w:val="32"/>
              </w:rPr>
              <w:t>检查结果</w:t>
            </w:r>
          </w:p>
        </w:tc>
      </w:tr>
      <w:tr w14:paraId="4BCB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vMerge w:val="restart"/>
            <w:vAlign w:val="center"/>
          </w:tcPr>
          <w:p w14:paraId="667E09BA">
            <w:pPr>
              <w:jc w:val="center"/>
              <w:rPr>
                <w:rFonts w:ascii="楷体" w:hAnsi="楷体" w:eastAsia="楷体" w:cs="Times New Roman"/>
                <w:sz w:val="32"/>
                <w:szCs w:val="32"/>
              </w:rPr>
            </w:pPr>
            <w:r>
              <w:rPr>
                <w:rFonts w:hint="eastAsia" w:ascii="楷体" w:hAnsi="楷体" w:eastAsia="楷体" w:cs="楷体"/>
                <w:sz w:val="32"/>
                <w:szCs w:val="32"/>
              </w:rPr>
              <w:t>场地</w:t>
            </w:r>
          </w:p>
        </w:tc>
        <w:tc>
          <w:tcPr>
            <w:tcW w:w="2425" w:type="pct"/>
          </w:tcPr>
          <w:p w14:paraId="0CB79DCD">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分区（各种场地标识清楚，场地内部设置禁止、警告、指令、提示标志）</w:t>
            </w:r>
          </w:p>
        </w:tc>
        <w:tc>
          <w:tcPr>
            <w:tcW w:w="1000" w:type="pct"/>
          </w:tcPr>
          <w:p w14:paraId="3FAE702F">
            <w:pPr>
              <w:spacing w:line="540" w:lineRule="exact"/>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管理区</w:t>
            </w:r>
          </w:p>
          <w:p w14:paraId="30426C2B">
            <w:pPr>
              <w:spacing w:line="540" w:lineRule="exact"/>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拆解作业区</w:t>
            </w:r>
          </w:p>
          <w:p w14:paraId="75D82214">
            <w:pPr>
              <w:spacing w:line="540" w:lineRule="exact"/>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污染控制区</w:t>
            </w:r>
          </w:p>
        </w:tc>
        <w:tc>
          <w:tcPr>
            <w:tcW w:w="1011" w:type="pct"/>
          </w:tcPr>
          <w:p w14:paraId="1DA4043B">
            <w:pPr>
              <w:widowControl/>
              <w:spacing w:line="540" w:lineRule="exact"/>
              <w:jc w:val="left"/>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未拆解贮存区</w:t>
            </w:r>
          </w:p>
          <w:p w14:paraId="1F53E0A2">
            <w:pPr>
              <w:widowControl/>
              <w:spacing w:line="540" w:lineRule="exact"/>
              <w:jc w:val="left"/>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已拆解贮存区</w:t>
            </w:r>
          </w:p>
          <w:p w14:paraId="07B12211">
            <w:pPr>
              <w:spacing w:line="540" w:lineRule="exact"/>
              <w:rPr>
                <w:rFonts w:ascii="方正仿宋_GBK" w:hAnsi="方正仿宋_GBK" w:eastAsia="方正仿宋_GBK" w:cs="Times New Roman"/>
                <w:sz w:val="32"/>
                <w:szCs w:val="32"/>
              </w:rPr>
            </w:pPr>
          </w:p>
        </w:tc>
      </w:tr>
      <w:tr w14:paraId="0A31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563" w:type="pct"/>
            <w:vMerge w:val="continue"/>
            <w:vAlign w:val="center"/>
          </w:tcPr>
          <w:p w14:paraId="6D343D8C">
            <w:pPr>
              <w:jc w:val="center"/>
              <w:rPr>
                <w:rFonts w:ascii="楷体" w:hAnsi="楷体" w:eastAsia="楷体" w:cs="Times New Roman"/>
                <w:sz w:val="32"/>
                <w:szCs w:val="32"/>
              </w:rPr>
            </w:pPr>
          </w:p>
        </w:tc>
        <w:tc>
          <w:tcPr>
            <w:tcW w:w="2425" w:type="pct"/>
            <w:vAlign w:val="center"/>
          </w:tcPr>
          <w:p w14:paraId="277E9DDA">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防雨防风设施（拆解区、“五大总成”等贮存区、污染控制区）</w:t>
            </w:r>
          </w:p>
        </w:tc>
        <w:tc>
          <w:tcPr>
            <w:tcW w:w="2011" w:type="pct"/>
            <w:gridSpan w:val="2"/>
          </w:tcPr>
          <w:p w14:paraId="6CF35D02">
            <w:pPr>
              <w:rPr>
                <w:rFonts w:ascii="方正仿宋_GBK" w:hAnsi="方正仿宋_GBK" w:eastAsia="方正仿宋_GBK" w:cs="Times New Roman"/>
                <w:sz w:val="32"/>
                <w:szCs w:val="32"/>
              </w:rPr>
            </w:pPr>
          </w:p>
        </w:tc>
      </w:tr>
      <w:tr w14:paraId="27D4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63" w:type="pct"/>
            <w:vMerge w:val="continue"/>
            <w:vAlign w:val="center"/>
          </w:tcPr>
          <w:p w14:paraId="78F3D491">
            <w:pPr>
              <w:jc w:val="center"/>
              <w:rPr>
                <w:rFonts w:ascii="楷体" w:hAnsi="楷体" w:eastAsia="楷体" w:cs="Times New Roman"/>
                <w:sz w:val="32"/>
                <w:szCs w:val="32"/>
              </w:rPr>
            </w:pPr>
          </w:p>
        </w:tc>
        <w:tc>
          <w:tcPr>
            <w:tcW w:w="2425" w:type="pct"/>
            <w:vAlign w:val="center"/>
          </w:tcPr>
          <w:p w14:paraId="7646CB20">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绝缘接地设施（污染控制区）</w:t>
            </w:r>
          </w:p>
        </w:tc>
        <w:tc>
          <w:tcPr>
            <w:tcW w:w="2011" w:type="pct"/>
            <w:gridSpan w:val="2"/>
          </w:tcPr>
          <w:p w14:paraId="44C98E14">
            <w:pPr>
              <w:rPr>
                <w:rFonts w:ascii="方正仿宋_GBK" w:hAnsi="方正仿宋_GBK" w:eastAsia="方正仿宋_GBK" w:cs="Times New Roman"/>
                <w:sz w:val="32"/>
                <w:szCs w:val="32"/>
              </w:rPr>
            </w:pPr>
          </w:p>
        </w:tc>
      </w:tr>
      <w:tr w14:paraId="680A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63" w:type="pct"/>
            <w:vMerge w:val="continue"/>
            <w:vAlign w:val="center"/>
          </w:tcPr>
          <w:p w14:paraId="28FF5BFC">
            <w:pPr>
              <w:jc w:val="center"/>
              <w:rPr>
                <w:rFonts w:ascii="楷体" w:hAnsi="楷体" w:eastAsia="楷体" w:cs="Times New Roman"/>
                <w:sz w:val="32"/>
                <w:szCs w:val="32"/>
              </w:rPr>
            </w:pPr>
          </w:p>
        </w:tc>
        <w:tc>
          <w:tcPr>
            <w:tcW w:w="2425" w:type="pct"/>
            <w:vAlign w:val="center"/>
          </w:tcPr>
          <w:p w14:paraId="31A5AB11">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道路和场地硬化情况</w:t>
            </w:r>
          </w:p>
        </w:tc>
        <w:tc>
          <w:tcPr>
            <w:tcW w:w="2011" w:type="pct"/>
            <w:gridSpan w:val="2"/>
          </w:tcPr>
          <w:p w14:paraId="1F4C292F">
            <w:pPr>
              <w:rPr>
                <w:rFonts w:ascii="方正仿宋_GBK" w:hAnsi="方正仿宋_GBK" w:eastAsia="方正仿宋_GBK" w:cs="Times New Roman"/>
                <w:sz w:val="32"/>
                <w:szCs w:val="32"/>
              </w:rPr>
            </w:pPr>
          </w:p>
        </w:tc>
      </w:tr>
      <w:tr w14:paraId="5C6E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63" w:type="pct"/>
            <w:vMerge w:val="continue"/>
            <w:vAlign w:val="center"/>
          </w:tcPr>
          <w:p w14:paraId="7349ED66">
            <w:pPr>
              <w:jc w:val="center"/>
              <w:rPr>
                <w:rFonts w:ascii="楷体" w:hAnsi="楷体" w:eastAsia="楷体" w:cs="Times New Roman"/>
                <w:sz w:val="32"/>
                <w:szCs w:val="32"/>
              </w:rPr>
            </w:pPr>
          </w:p>
        </w:tc>
        <w:tc>
          <w:tcPr>
            <w:tcW w:w="2425" w:type="pct"/>
            <w:vAlign w:val="center"/>
          </w:tcPr>
          <w:p w14:paraId="0F11DACF">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是否有新能源汽车拆解、贮存场地</w:t>
            </w:r>
          </w:p>
        </w:tc>
        <w:tc>
          <w:tcPr>
            <w:tcW w:w="2011" w:type="pct"/>
            <w:gridSpan w:val="2"/>
          </w:tcPr>
          <w:p w14:paraId="7EA2C771">
            <w:pPr>
              <w:rPr>
                <w:rFonts w:ascii="方正仿宋_GBK" w:hAnsi="方正仿宋_GBK" w:eastAsia="方正仿宋_GBK" w:cs="Times New Roman"/>
                <w:sz w:val="32"/>
                <w:szCs w:val="32"/>
              </w:rPr>
            </w:pPr>
          </w:p>
        </w:tc>
      </w:tr>
      <w:tr w14:paraId="0BF7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vMerge w:val="restart"/>
            <w:vAlign w:val="center"/>
          </w:tcPr>
          <w:p w14:paraId="4DD30EBD">
            <w:pPr>
              <w:jc w:val="center"/>
              <w:rPr>
                <w:rFonts w:ascii="楷体" w:hAnsi="楷体" w:eastAsia="楷体" w:cs="Times New Roman"/>
                <w:sz w:val="32"/>
                <w:szCs w:val="32"/>
              </w:rPr>
            </w:pPr>
            <w:r>
              <w:rPr>
                <w:rFonts w:hint="eastAsia" w:ascii="楷体" w:hAnsi="楷体" w:eastAsia="楷体" w:cs="楷体"/>
                <w:sz w:val="32"/>
                <w:szCs w:val="32"/>
              </w:rPr>
              <w:t>设备</w:t>
            </w:r>
          </w:p>
        </w:tc>
        <w:tc>
          <w:tcPr>
            <w:tcW w:w="2425" w:type="pct"/>
          </w:tcPr>
          <w:p w14:paraId="4984A5A1">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生产设备（剪断、切割、压扁设备（必备），安全气囊拆除引爆设备等）</w:t>
            </w:r>
          </w:p>
        </w:tc>
        <w:tc>
          <w:tcPr>
            <w:tcW w:w="2011" w:type="pct"/>
            <w:gridSpan w:val="2"/>
          </w:tcPr>
          <w:p w14:paraId="3F2E79DF">
            <w:pPr>
              <w:rPr>
                <w:rFonts w:ascii="方正仿宋_GBK" w:hAnsi="方正仿宋_GBK" w:eastAsia="方正仿宋_GBK" w:cs="Times New Roman"/>
                <w:sz w:val="32"/>
                <w:szCs w:val="32"/>
              </w:rPr>
            </w:pPr>
          </w:p>
        </w:tc>
      </w:tr>
      <w:tr w14:paraId="7BAC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vMerge w:val="continue"/>
            <w:vAlign w:val="center"/>
          </w:tcPr>
          <w:p w14:paraId="2CC329FB">
            <w:pPr>
              <w:jc w:val="center"/>
              <w:rPr>
                <w:rFonts w:ascii="楷体" w:hAnsi="楷体" w:eastAsia="楷体" w:cs="Times New Roman"/>
                <w:sz w:val="32"/>
                <w:szCs w:val="32"/>
              </w:rPr>
            </w:pPr>
          </w:p>
        </w:tc>
        <w:tc>
          <w:tcPr>
            <w:tcW w:w="2425" w:type="pct"/>
          </w:tcPr>
          <w:p w14:paraId="2450C02B">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应急救援和消防设备（灭火器、消防箱、消防水带、黄砂箱、消防铲、消防应急池、应急</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防爆灯）</w:t>
            </w:r>
          </w:p>
        </w:tc>
        <w:tc>
          <w:tcPr>
            <w:tcW w:w="2011" w:type="pct"/>
            <w:gridSpan w:val="2"/>
          </w:tcPr>
          <w:p w14:paraId="32BB307F">
            <w:pPr>
              <w:rPr>
                <w:rFonts w:ascii="方正仿宋_GBK" w:hAnsi="方正仿宋_GBK" w:eastAsia="方正仿宋_GBK" w:cs="Times New Roman"/>
                <w:sz w:val="32"/>
                <w:szCs w:val="32"/>
              </w:rPr>
            </w:pPr>
          </w:p>
        </w:tc>
      </w:tr>
      <w:tr w14:paraId="2212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vMerge w:val="continue"/>
            <w:vAlign w:val="center"/>
          </w:tcPr>
          <w:p w14:paraId="1142CDAC">
            <w:pPr>
              <w:jc w:val="center"/>
              <w:rPr>
                <w:rFonts w:ascii="楷体" w:hAnsi="楷体" w:eastAsia="楷体" w:cs="Times New Roman"/>
                <w:sz w:val="32"/>
                <w:szCs w:val="32"/>
              </w:rPr>
            </w:pPr>
          </w:p>
        </w:tc>
        <w:tc>
          <w:tcPr>
            <w:tcW w:w="2425" w:type="pct"/>
          </w:tcPr>
          <w:p w14:paraId="2ACD7AB4">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生态环境保护设备：是否有固废库、废油回收、制冷剂回收、铅酸电池回收集中存放点</w:t>
            </w:r>
          </w:p>
        </w:tc>
        <w:tc>
          <w:tcPr>
            <w:tcW w:w="2011" w:type="pct"/>
            <w:gridSpan w:val="2"/>
          </w:tcPr>
          <w:p w14:paraId="46D2B6E4">
            <w:pPr>
              <w:rPr>
                <w:rFonts w:ascii="方正仿宋_GBK" w:hAnsi="方正仿宋_GBK" w:eastAsia="方正仿宋_GBK" w:cs="Times New Roman"/>
                <w:sz w:val="32"/>
                <w:szCs w:val="32"/>
              </w:rPr>
            </w:pPr>
          </w:p>
        </w:tc>
      </w:tr>
      <w:tr w14:paraId="6C6B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63" w:type="pct"/>
            <w:vMerge w:val="continue"/>
            <w:vAlign w:val="center"/>
          </w:tcPr>
          <w:p w14:paraId="3246DE43">
            <w:pPr>
              <w:jc w:val="center"/>
              <w:rPr>
                <w:rFonts w:ascii="楷体" w:hAnsi="楷体" w:eastAsia="楷体" w:cs="Times New Roman"/>
                <w:sz w:val="32"/>
                <w:szCs w:val="32"/>
              </w:rPr>
            </w:pPr>
          </w:p>
        </w:tc>
        <w:tc>
          <w:tcPr>
            <w:tcW w:w="2425" w:type="pct"/>
          </w:tcPr>
          <w:p w14:paraId="2C0B30CE">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监控设备（经营场所全覆盖）</w:t>
            </w:r>
          </w:p>
        </w:tc>
        <w:tc>
          <w:tcPr>
            <w:tcW w:w="2011" w:type="pct"/>
            <w:gridSpan w:val="2"/>
          </w:tcPr>
          <w:p w14:paraId="51FA9088">
            <w:pPr>
              <w:rPr>
                <w:rFonts w:ascii="方正仿宋_GBK" w:hAnsi="方正仿宋_GBK" w:eastAsia="方正仿宋_GBK" w:cs="Times New Roman"/>
                <w:sz w:val="32"/>
                <w:szCs w:val="32"/>
              </w:rPr>
            </w:pPr>
          </w:p>
        </w:tc>
      </w:tr>
      <w:tr w14:paraId="30FE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63" w:type="pct"/>
            <w:vMerge w:val="continue"/>
            <w:vAlign w:val="center"/>
          </w:tcPr>
          <w:p w14:paraId="1A4018F2">
            <w:pPr>
              <w:jc w:val="center"/>
              <w:rPr>
                <w:rFonts w:ascii="楷体" w:hAnsi="楷体" w:eastAsia="楷体" w:cs="Times New Roman"/>
                <w:sz w:val="32"/>
                <w:szCs w:val="32"/>
              </w:rPr>
            </w:pPr>
          </w:p>
        </w:tc>
        <w:tc>
          <w:tcPr>
            <w:tcW w:w="2425" w:type="pct"/>
          </w:tcPr>
          <w:p w14:paraId="3AB3AB01">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另：使用气割情况（场地和消防是否符合要求）</w:t>
            </w:r>
          </w:p>
        </w:tc>
        <w:tc>
          <w:tcPr>
            <w:tcW w:w="2011" w:type="pct"/>
            <w:gridSpan w:val="2"/>
          </w:tcPr>
          <w:p w14:paraId="0951FDBD">
            <w:pPr>
              <w:rPr>
                <w:rFonts w:ascii="方正仿宋_GBK" w:hAnsi="方正仿宋_GBK" w:eastAsia="方正仿宋_GBK" w:cs="Times New Roman"/>
                <w:sz w:val="32"/>
                <w:szCs w:val="32"/>
              </w:rPr>
            </w:pPr>
          </w:p>
        </w:tc>
      </w:tr>
      <w:tr w14:paraId="5490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63" w:type="pct"/>
            <w:vMerge w:val="restart"/>
            <w:vAlign w:val="center"/>
          </w:tcPr>
          <w:p w14:paraId="42CFFE53">
            <w:pPr>
              <w:jc w:val="center"/>
              <w:rPr>
                <w:rFonts w:ascii="楷体" w:hAnsi="楷体" w:eastAsia="楷体" w:cs="Times New Roman"/>
                <w:sz w:val="32"/>
                <w:szCs w:val="32"/>
              </w:rPr>
            </w:pPr>
            <w:r>
              <w:rPr>
                <w:rFonts w:hint="eastAsia" w:ascii="楷体" w:hAnsi="楷体" w:eastAsia="楷体" w:cs="楷体"/>
                <w:sz w:val="32"/>
                <w:szCs w:val="32"/>
              </w:rPr>
              <w:t>人员</w:t>
            </w:r>
          </w:p>
        </w:tc>
        <w:tc>
          <w:tcPr>
            <w:tcW w:w="2425" w:type="pct"/>
          </w:tcPr>
          <w:p w14:paraId="5BFECB18">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有专业安全生产和环保管理人员</w:t>
            </w:r>
          </w:p>
        </w:tc>
        <w:tc>
          <w:tcPr>
            <w:tcW w:w="2011" w:type="pct"/>
            <w:gridSpan w:val="2"/>
          </w:tcPr>
          <w:p w14:paraId="06B78CFA">
            <w:pPr>
              <w:rPr>
                <w:rFonts w:ascii="方正仿宋_GBK" w:hAnsi="方正仿宋_GBK" w:eastAsia="方正仿宋_GBK" w:cs="Times New Roman"/>
                <w:sz w:val="32"/>
                <w:szCs w:val="32"/>
              </w:rPr>
            </w:pPr>
          </w:p>
        </w:tc>
      </w:tr>
      <w:tr w14:paraId="403F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vMerge w:val="continue"/>
            <w:vAlign w:val="center"/>
          </w:tcPr>
          <w:p w14:paraId="6AD4387C">
            <w:pPr>
              <w:jc w:val="center"/>
              <w:rPr>
                <w:rFonts w:ascii="楷体" w:hAnsi="楷体" w:eastAsia="楷体" w:cs="Times New Roman"/>
                <w:sz w:val="32"/>
                <w:szCs w:val="32"/>
              </w:rPr>
            </w:pPr>
          </w:p>
        </w:tc>
        <w:tc>
          <w:tcPr>
            <w:tcW w:w="2425" w:type="pct"/>
          </w:tcPr>
          <w:p w14:paraId="53D540BF">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人员资质情况（台账）：电工、焊接和切割、起重机操作、起重机指挥等</w:t>
            </w:r>
          </w:p>
        </w:tc>
        <w:tc>
          <w:tcPr>
            <w:tcW w:w="2011" w:type="pct"/>
            <w:gridSpan w:val="2"/>
          </w:tcPr>
          <w:p w14:paraId="1B8A5C74">
            <w:pPr>
              <w:rPr>
                <w:rFonts w:ascii="方正仿宋_GBK" w:hAnsi="方正仿宋_GBK" w:eastAsia="方正仿宋_GBK" w:cs="Times New Roman"/>
                <w:sz w:val="32"/>
                <w:szCs w:val="32"/>
              </w:rPr>
            </w:pPr>
          </w:p>
        </w:tc>
      </w:tr>
      <w:tr w14:paraId="7056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vMerge w:val="restart"/>
            <w:vAlign w:val="center"/>
          </w:tcPr>
          <w:p w14:paraId="62F75FAB">
            <w:pPr>
              <w:jc w:val="center"/>
              <w:rPr>
                <w:rFonts w:ascii="楷体" w:hAnsi="楷体" w:eastAsia="楷体" w:cs="Times New Roman"/>
                <w:sz w:val="32"/>
                <w:szCs w:val="32"/>
              </w:rPr>
            </w:pPr>
            <w:r>
              <w:rPr>
                <w:rFonts w:hint="eastAsia" w:ascii="楷体" w:hAnsi="楷体" w:eastAsia="楷体" w:cs="楷体"/>
                <w:sz w:val="32"/>
                <w:szCs w:val="32"/>
              </w:rPr>
              <w:t>制度</w:t>
            </w:r>
          </w:p>
        </w:tc>
        <w:tc>
          <w:tcPr>
            <w:tcW w:w="2425" w:type="pct"/>
          </w:tcPr>
          <w:p w14:paraId="607BA551">
            <w:pPr>
              <w:spacing w:line="587" w:lineRule="exact"/>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拆解操作规范（油液抽取及储存、蓄电池拆解及储存、三元催化拆解及储存等）</w:t>
            </w:r>
          </w:p>
        </w:tc>
        <w:tc>
          <w:tcPr>
            <w:tcW w:w="2011" w:type="pct"/>
            <w:gridSpan w:val="2"/>
          </w:tcPr>
          <w:p w14:paraId="3A5C1EBF">
            <w:pPr>
              <w:rPr>
                <w:rFonts w:cs="Times New Roman"/>
                <w:sz w:val="32"/>
                <w:szCs w:val="32"/>
              </w:rPr>
            </w:pPr>
          </w:p>
        </w:tc>
      </w:tr>
      <w:tr w14:paraId="1ADD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vMerge w:val="continue"/>
            <w:vAlign w:val="center"/>
          </w:tcPr>
          <w:p w14:paraId="31D25C77">
            <w:pPr>
              <w:jc w:val="center"/>
              <w:rPr>
                <w:rFonts w:ascii="楷体" w:hAnsi="楷体" w:eastAsia="楷体" w:cs="Times New Roman"/>
                <w:sz w:val="32"/>
                <w:szCs w:val="32"/>
              </w:rPr>
            </w:pPr>
          </w:p>
        </w:tc>
        <w:tc>
          <w:tcPr>
            <w:tcW w:w="2425" w:type="pct"/>
          </w:tcPr>
          <w:p w14:paraId="44BFA856">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设备管理制度（保养等台账）</w:t>
            </w:r>
          </w:p>
        </w:tc>
        <w:tc>
          <w:tcPr>
            <w:tcW w:w="2011" w:type="pct"/>
            <w:gridSpan w:val="2"/>
          </w:tcPr>
          <w:p w14:paraId="4A7070A3">
            <w:pPr>
              <w:rPr>
                <w:rFonts w:cs="Times New Roman"/>
                <w:sz w:val="32"/>
                <w:szCs w:val="32"/>
              </w:rPr>
            </w:pPr>
          </w:p>
        </w:tc>
      </w:tr>
      <w:tr w14:paraId="7A54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vMerge w:val="continue"/>
            <w:vAlign w:val="center"/>
          </w:tcPr>
          <w:p w14:paraId="004C3588">
            <w:pPr>
              <w:jc w:val="center"/>
              <w:rPr>
                <w:rFonts w:ascii="楷体" w:hAnsi="楷体" w:eastAsia="楷体" w:cs="Times New Roman"/>
                <w:sz w:val="32"/>
                <w:szCs w:val="32"/>
              </w:rPr>
            </w:pPr>
          </w:p>
        </w:tc>
        <w:tc>
          <w:tcPr>
            <w:tcW w:w="2425" w:type="pct"/>
          </w:tcPr>
          <w:p w14:paraId="178D4E5B">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生态环境保护制度</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预案</w:t>
            </w:r>
          </w:p>
        </w:tc>
        <w:tc>
          <w:tcPr>
            <w:tcW w:w="2011" w:type="pct"/>
            <w:gridSpan w:val="2"/>
          </w:tcPr>
          <w:p w14:paraId="630820E0">
            <w:pPr>
              <w:rPr>
                <w:rFonts w:cs="Times New Roman"/>
                <w:sz w:val="32"/>
                <w:szCs w:val="32"/>
              </w:rPr>
            </w:pPr>
          </w:p>
        </w:tc>
      </w:tr>
      <w:tr w14:paraId="0B6B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vMerge w:val="continue"/>
            <w:vAlign w:val="center"/>
          </w:tcPr>
          <w:p w14:paraId="24945C8F">
            <w:pPr>
              <w:jc w:val="center"/>
              <w:rPr>
                <w:rFonts w:ascii="楷体" w:hAnsi="楷体" w:eastAsia="楷体" w:cs="Times New Roman"/>
                <w:sz w:val="32"/>
                <w:szCs w:val="32"/>
              </w:rPr>
            </w:pPr>
          </w:p>
        </w:tc>
        <w:tc>
          <w:tcPr>
            <w:tcW w:w="2425" w:type="pct"/>
          </w:tcPr>
          <w:p w14:paraId="7A96658B">
            <w:pPr>
              <w:spacing w:line="460" w:lineRule="exact"/>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安全生产制度（具有水、电、气等安全使用说明，安全生产规程，防火、防汛的应急预案和应急演练记录等）</w:t>
            </w:r>
          </w:p>
        </w:tc>
        <w:tc>
          <w:tcPr>
            <w:tcW w:w="2011" w:type="pct"/>
            <w:gridSpan w:val="2"/>
          </w:tcPr>
          <w:p w14:paraId="4996EEC5">
            <w:pPr>
              <w:rPr>
                <w:rFonts w:cs="Times New Roman"/>
                <w:sz w:val="32"/>
                <w:szCs w:val="32"/>
              </w:rPr>
            </w:pPr>
          </w:p>
        </w:tc>
      </w:tr>
      <w:tr w14:paraId="0BB5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vMerge w:val="continue"/>
            <w:vAlign w:val="center"/>
          </w:tcPr>
          <w:p w14:paraId="215F64C2">
            <w:pPr>
              <w:jc w:val="center"/>
              <w:rPr>
                <w:rFonts w:ascii="楷体" w:hAnsi="楷体" w:eastAsia="楷体" w:cs="Times New Roman"/>
                <w:sz w:val="32"/>
                <w:szCs w:val="32"/>
              </w:rPr>
            </w:pPr>
          </w:p>
        </w:tc>
        <w:tc>
          <w:tcPr>
            <w:tcW w:w="2425" w:type="pct"/>
          </w:tcPr>
          <w:p w14:paraId="0ADBDF8C">
            <w:pPr>
              <w:spacing w:line="460" w:lineRule="exact"/>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劳动保护（</w:t>
            </w:r>
            <w:r>
              <w:rPr>
                <w:rFonts w:hint="eastAsia" w:ascii="方正仿宋_GBK" w:hAnsi="方正仿宋_GBK" w:eastAsia="方正仿宋_GBK" w:cs="方正仿宋_GBK"/>
                <w:sz w:val="28"/>
                <w:szCs w:val="28"/>
              </w:rPr>
              <w:t>工作服、安全帽、劳保鞋、护目镜、手套</w:t>
            </w:r>
            <w:r>
              <w:rPr>
                <w:rFonts w:hint="eastAsia" w:ascii="方正仿宋_GBK" w:hAnsi="方正仿宋_GBK" w:eastAsia="方正仿宋_GBK" w:cs="方正仿宋_GBK"/>
                <w:sz w:val="32"/>
                <w:szCs w:val="32"/>
              </w:rPr>
              <w:t>）</w:t>
            </w:r>
          </w:p>
        </w:tc>
        <w:tc>
          <w:tcPr>
            <w:tcW w:w="2011" w:type="pct"/>
            <w:gridSpan w:val="2"/>
          </w:tcPr>
          <w:p w14:paraId="32460457">
            <w:pPr>
              <w:rPr>
                <w:rFonts w:cs="Times New Roman"/>
                <w:sz w:val="32"/>
                <w:szCs w:val="32"/>
              </w:rPr>
            </w:pPr>
          </w:p>
        </w:tc>
      </w:tr>
      <w:tr w14:paraId="613B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63" w:type="pct"/>
            <w:vMerge w:val="restart"/>
            <w:vAlign w:val="center"/>
          </w:tcPr>
          <w:p w14:paraId="385AC73B">
            <w:pPr>
              <w:jc w:val="center"/>
              <w:rPr>
                <w:rFonts w:ascii="楷体" w:hAnsi="楷体" w:eastAsia="楷体" w:cs="Times New Roman"/>
                <w:sz w:val="32"/>
                <w:szCs w:val="32"/>
              </w:rPr>
            </w:pPr>
            <w:r>
              <w:rPr>
                <w:rFonts w:hint="eastAsia" w:ascii="楷体" w:hAnsi="楷体" w:eastAsia="楷体" w:cs="楷体"/>
                <w:sz w:val="32"/>
                <w:szCs w:val="32"/>
              </w:rPr>
              <w:t>台账</w:t>
            </w:r>
          </w:p>
        </w:tc>
        <w:tc>
          <w:tcPr>
            <w:tcW w:w="2425" w:type="pct"/>
          </w:tcPr>
          <w:p w14:paraId="1156C186">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回收机动车台账</w:t>
            </w:r>
          </w:p>
        </w:tc>
        <w:tc>
          <w:tcPr>
            <w:tcW w:w="2011" w:type="pct"/>
            <w:gridSpan w:val="2"/>
          </w:tcPr>
          <w:p w14:paraId="79D29204">
            <w:pPr>
              <w:rPr>
                <w:rFonts w:cs="Times New Roman"/>
                <w:sz w:val="32"/>
                <w:szCs w:val="32"/>
              </w:rPr>
            </w:pPr>
          </w:p>
        </w:tc>
      </w:tr>
      <w:tr w14:paraId="292D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63" w:type="pct"/>
            <w:vMerge w:val="continue"/>
            <w:vAlign w:val="center"/>
          </w:tcPr>
          <w:p w14:paraId="4A5738BF">
            <w:pPr>
              <w:jc w:val="center"/>
              <w:rPr>
                <w:rFonts w:ascii="楷体" w:hAnsi="楷体" w:eastAsia="楷体" w:cs="Times New Roman"/>
                <w:sz w:val="32"/>
                <w:szCs w:val="32"/>
              </w:rPr>
            </w:pPr>
          </w:p>
        </w:tc>
        <w:tc>
          <w:tcPr>
            <w:tcW w:w="2425" w:type="pct"/>
          </w:tcPr>
          <w:p w14:paraId="4B339E54">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机动车拆解台账（报废证明等）</w:t>
            </w:r>
          </w:p>
        </w:tc>
        <w:tc>
          <w:tcPr>
            <w:tcW w:w="2011" w:type="pct"/>
            <w:gridSpan w:val="2"/>
          </w:tcPr>
          <w:p w14:paraId="3DD7EEB5">
            <w:pPr>
              <w:rPr>
                <w:rFonts w:cs="Times New Roman"/>
                <w:sz w:val="32"/>
                <w:szCs w:val="32"/>
              </w:rPr>
            </w:pPr>
          </w:p>
        </w:tc>
      </w:tr>
      <w:tr w14:paraId="6424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63" w:type="pct"/>
            <w:vMerge w:val="continue"/>
            <w:vAlign w:val="center"/>
          </w:tcPr>
          <w:p w14:paraId="6FBD11DC">
            <w:pPr>
              <w:jc w:val="center"/>
              <w:rPr>
                <w:rFonts w:ascii="楷体" w:hAnsi="楷体" w:eastAsia="楷体" w:cs="Times New Roman"/>
                <w:sz w:val="32"/>
                <w:szCs w:val="32"/>
              </w:rPr>
            </w:pPr>
          </w:p>
        </w:tc>
        <w:tc>
          <w:tcPr>
            <w:tcW w:w="2425" w:type="pct"/>
          </w:tcPr>
          <w:p w14:paraId="161AC233">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拆解后五大总成台账</w:t>
            </w:r>
          </w:p>
        </w:tc>
        <w:tc>
          <w:tcPr>
            <w:tcW w:w="2011" w:type="pct"/>
            <w:gridSpan w:val="2"/>
          </w:tcPr>
          <w:p w14:paraId="2EA5E588">
            <w:pPr>
              <w:rPr>
                <w:rFonts w:cs="Times New Roman"/>
                <w:sz w:val="32"/>
                <w:szCs w:val="32"/>
              </w:rPr>
            </w:pPr>
          </w:p>
        </w:tc>
      </w:tr>
      <w:tr w14:paraId="56FD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63" w:type="pct"/>
            <w:vMerge w:val="continue"/>
            <w:vAlign w:val="center"/>
          </w:tcPr>
          <w:p w14:paraId="22D7FAF0">
            <w:pPr>
              <w:jc w:val="center"/>
              <w:rPr>
                <w:rFonts w:ascii="楷体" w:hAnsi="楷体" w:eastAsia="楷体" w:cs="Times New Roman"/>
                <w:sz w:val="32"/>
                <w:szCs w:val="32"/>
              </w:rPr>
            </w:pPr>
          </w:p>
        </w:tc>
        <w:tc>
          <w:tcPr>
            <w:tcW w:w="2425" w:type="pct"/>
          </w:tcPr>
          <w:p w14:paraId="520F9E9B">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危险废物储存和转移台账（有无超期存放）</w:t>
            </w:r>
          </w:p>
        </w:tc>
        <w:tc>
          <w:tcPr>
            <w:tcW w:w="2011" w:type="pct"/>
            <w:gridSpan w:val="2"/>
          </w:tcPr>
          <w:p w14:paraId="4D7CED67">
            <w:pPr>
              <w:rPr>
                <w:rFonts w:cs="Times New Roman"/>
                <w:sz w:val="32"/>
                <w:szCs w:val="32"/>
              </w:rPr>
            </w:pPr>
          </w:p>
        </w:tc>
      </w:tr>
      <w:tr w14:paraId="0BC2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vMerge w:val="restart"/>
            <w:vAlign w:val="center"/>
          </w:tcPr>
          <w:p w14:paraId="19B1C697">
            <w:pPr>
              <w:jc w:val="center"/>
              <w:rPr>
                <w:rFonts w:ascii="楷体" w:hAnsi="楷体" w:eastAsia="楷体" w:cs="Times New Roman"/>
                <w:sz w:val="32"/>
                <w:szCs w:val="32"/>
              </w:rPr>
            </w:pPr>
            <w:r>
              <w:rPr>
                <w:rFonts w:hint="eastAsia" w:ascii="楷体" w:hAnsi="楷体" w:eastAsia="楷体" w:cs="楷体"/>
                <w:sz w:val="32"/>
                <w:szCs w:val="32"/>
              </w:rPr>
              <w:t>信息系统使用情况</w:t>
            </w:r>
          </w:p>
        </w:tc>
        <w:tc>
          <w:tcPr>
            <w:tcW w:w="2425" w:type="pct"/>
          </w:tcPr>
          <w:p w14:paraId="155C9D09">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全国汽车流通信息管理应用服务</w:t>
            </w:r>
          </w:p>
        </w:tc>
        <w:tc>
          <w:tcPr>
            <w:tcW w:w="2011" w:type="pct"/>
            <w:gridSpan w:val="2"/>
          </w:tcPr>
          <w:p w14:paraId="364F814C">
            <w:pPr>
              <w:rPr>
                <w:rFonts w:ascii="方正仿宋_GBK" w:hAnsi="方正仿宋_GBK" w:eastAsia="方正仿宋_GBK" w:cs="Times New Roman"/>
                <w:sz w:val="32"/>
                <w:szCs w:val="32"/>
              </w:rPr>
            </w:pPr>
          </w:p>
        </w:tc>
      </w:tr>
      <w:tr w14:paraId="76D3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63" w:type="pct"/>
            <w:vMerge w:val="continue"/>
            <w:vAlign w:val="center"/>
          </w:tcPr>
          <w:p w14:paraId="7D7CE75B">
            <w:pPr>
              <w:jc w:val="center"/>
              <w:rPr>
                <w:rFonts w:ascii="楷体" w:hAnsi="楷体" w:eastAsia="楷体" w:cs="Times New Roman"/>
                <w:sz w:val="32"/>
                <w:szCs w:val="32"/>
              </w:rPr>
            </w:pPr>
          </w:p>
        </w:tc>
        <w:tc>
          <w:tcPr>
            <w:tcW w:w="2425" w:type="pct"/>
          </w:tcPr>
          <w:p w14:paraId="668AC6CD">
            <w:pPr>
              <w:spacing w:line="460" w:lineRule="exact"/>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全国固体废物管理信息系统（或省环保部门系统）</w:t>
            </w:r>
          </w:p>
        </w:tc>
        <w:tc>
          <w:tcPr>
            <w:tcW w:w="2011" w:type="pct"/>
            <w:gridSpan w:val="2"/>
          </w:tcPr>
          <w:p w14:paraId="32EB5944">
            <w:pPr>
              <w:rPr>
                <w:rFonts w:ascii="方正仿宋_GBK" w:hAnsi="方正仿宋_GBK" w:eastAsia="方正仿宋_GBK" w:cs="Times New Roman"/>
                <w:sz w:val="32"/>
                <w:szCs w:val="32"/>
              </w:rPr>
            </w:pPr>
          </w:p>
        </w:tc>
      </w:tr>
      <w:tr w14:paraId="6A93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63" w:type="pct"/>
            <w:vMerge w:val="continue"/>
            <w:vAlign w:val="center"/>
          </w:tcPr>
          <w:p w14:paraId="19512ABF">
            <w:pPr>
              <w:jc w:val="center"/>
              <w:rPr>
                <w:rFonts w:ascii="楷体" w:hAnsi="楷体" w:eastAsia="楷体" w:cs="Times New Roman"/>
                <w:sz w:val="32"/>
                <w:szCs w:val="32"/>
              </w:rPr>
            </w:pPr>
          </w:p>
        </w:tc>
        <w:tc>
          <w:tcPr>
            <w:tcW w:w="2425" w:type="pct"/>
          </w:tcPr>
          <w:p w14:paraId="479AFCBF">
            <w:pPr>
              <w:spacing w:line="460" w:lineRule="exact"/>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新能源汽车国家检测与动力蓄电池回收利用溯源综合管理平台</w:t>
            </w:r>
          </w:p>
        </w:tc>
        <w:tc>
          <w:tcPr>
            <w:tcW w:w="2011" w:type="pct"/>
            <w:gridSpan w:val="2"/>
          </w:tcPr>
          <w:p w14:paraId="234E94B8">
            <w:pPr>
              <w:rPr>
                <w:rFonts w:ascii="方正仿宋_GBK" w:hAnsi="方正仿宋_GBK" w:eastAsia="方正仿宋_GBK" w:cs="Times New Roman"/>
                <w:sz w:val="32"/>
                <w:szCs w:val="32"/>
              </w:rPr>
            </w:pPr>
          </w:p>
        </w:tc>
      </w:tr>
      <w:tr w14:paraId="116B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563" w:type="pct"/>
            <w:vAlign w:val="center"/>
          </w:tcPr>
          <w:p w14:paraId="366E0880">
            <w:pPr>
              <w:jc w:val="center"/>
              <w:rPr>
                <w:rFonts w:ascii="楷体" w:hAnsi="楷体" w:eastAsia="楷体" w:cs="Times New Roman"/>
                <w:sz w:val="32"/>
                <w:szCs w:val="32"/>
              </w:rPr>
            </w:pPr>
            <w:r>
              <w:rPr>
                <w:rFonts w:hint="eastAsia" w:ascii="楷体" w:hAnsi="楷体" w:eastAsia="楷体" w:cs="楷体"/>
                <w:sz w:val="32"/>
                <w:szCs w:val="32"/>
              </w:rPr>
              <w:t>企业自查自纠情况</w:t>
            </w:r>
          </w:p>
        </w:tc>
        <w:tc>
          <w:tcPr>
            <w:tcW w:w="2425" w:type="pct"/>
          </w:tcPr>
          <w:p w14:paraId="72FF0D1F">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发现问题：</w:t>
            </w:r>
          </w:p>
        </w:tc>
        <w:tc>
          <w:tcPr>
            <w:tcW w:w="2011" w:type="pct"/>
            <w:gridSpan w:val="2"/>
          </w:tcPr>
          <w:p w14:paraId="6081B486">
            <w:pPr>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整改情况：</w:t>
            </w:r>
          </w:p>
        </w:tc>
      </w:tr>
    </w:tbl>
    <w:p w14:paraId="382577A1">
      <w:pPr>
        <w:spacing w:line="240" w:lineRule="exact"/>
        <w:jc w:val="left"/>
        <w:rPr>
          <w:rFonts w:ascii="楷体" w:hAnsi="楷体" w:eastAsia="楷体" w:cs="Times New Roman"/>
          <w:sz w:val="28"/>
          <w:szCs w:val="28"/>
        </w:rPr>
      </w:pPr>
    </w:p>
    <w:sectPr>
      <w:pgSz w:w="16838" w:h="11906" w:orient="landscape"/>
      <w:pgMar w:top="1803" w:right="1440" w:bottom="1803" w:left="1440" w:header="851" w:footer="992"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58B3">
    <w:pPr>
      <w:pStyle w:val="4"/>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9CA817">
                          <w:pPr>
                            <w:pStyle w:val="4"/>
                            <w:rPr>
                              <w:rFonts w:cs="Times New Roman"/>
                            </w:rPr>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qNuH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RFieMWB3758f3y8/fl1zey&#10;zPL0ARrMug+Yl4Z3fsClme8BLzPrQUWbv8iHYBzFPV/FlUMiIj9ar9brGkMCY7OD+NXj8xAhvZfe&#10;kmwwGnF6RVR++ghpTJ1TcjXn77QxZYLGkZ7Rm9dv6vLgGkFw47BGJjE2m6007IeJ2d63ZyTW4wYw&#10;6nDhKTEfHAqcl2U24mzsZ+MYoj502OOy1IPw9piwm9JkrjDCToVxdIXmtGZ5N/72S9bj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aKjbh0QEAAKIDAAAOAAAAAAAAAAEAIAAAAB8BAABk&#10;cnMvZTJvRG9jLnhtbFBLBQYAAAAABgAGAFkBAABiBQAAAAA=&#10;">
              <v:fill on="f" focussize="0,0"/>
              <v:stroke on="f" weight="0.5pt"/>
              <v:imagedata o:title=""/>
              <o:lock v:ext="edit" aspectratio="f"/>
              <v:textbox inset="0mm,0mm,0mm,0mm" style="mso-fit-shape-to-text:t;">
                <w:txbxContent>
                  <w:p w14:paraId="499CA817">
                    <w:pPr>
                      <w:pStyle w:val="4"/>
                      <w:rPr>
                        <w:rFonts w:cs="Times New Roman"/>
                      </w:rPr>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NzU4NzhiZGYwYjVmNmQxMjcyZTg5MjM5ZTRjZDQifQ=="/>
  </w:docVars>
  <w:rsids>
    <w:rsidRoot w:val="00BD24FF"/>
    <w:rsid w:val="002A5774"/>
    <w:rsid w:val="005C0B32"/>
    <w:rsid w:val="00946FC4"/>
    <w:rsid w:val="009E27CA"/>
    <w:rsid w:val="00BD24FF"/>
    <w:rsid w:val="00C3401F"/>
    <w:rsid w:val="00F8381E"/>
    <w:rsid w:val="0A140428"/>
    <w:rsid w:val="0FB30157"/>
    <w:rsid w:val="19446386"/>
    <w:rsid w:val="1FE5713C"/>
    <w:rsid w:val="306C22C1"/>
    <w:rsid w:val="332C35B8"/>
    <w:rsid w:val="38CE5AC2"/>
    <w:rsid w:val="40D07C11"/>
    <w:rsid w:val="432B3B11"/>
    <w:rsid w:val="47AD7C08"/>
    <w:rsid w:val="574511ED"/>
    <w:rsid w:val="62085466"/>
    <w:rsid w:val="63A513B3"/>
    <w:rsid w:val="67897F0C"/>
    <w:rsid w:val="6AB8220B"/>
    <w:rsid w:val="76E97B0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uiPriority w:val="99"/>
    <w:pPr>
      <w:keepNext/>
      <w:keepLines/>
      <w:spacing w:before="340" w:after="330" w:line="576" w:lineRule="auto"/>
      <w:outlineLvl w:val="0"/>
    </w:pPr>
    <w:rPr>
      <w:b/>
      <w:bCs/>
      <w:kern w:val="44"/>
      <w:sz w:val="44"/>
      <w:szCs w:val="44"/>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99"/>
    <w:rPr>
      <w:rFonts w:ascii="宋体" w:hAnsi="宋体" w:cs="宋体"/>
      <w:color w:val="FF0000"/>
      <w:sz w:val="28"/>
      <w:szCs w:val="2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table" w:styleId="7">
    <w:name w:val="Table Grid"/>
    <w:basedOn w:val="6"/>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style>
  <w:style w:type="character" w:customStyle="1" w:styleId="10">
    <w:name w:val="Heading 1 Char"/>
    <w:basedOn w:val="8"/>
    <w:link w:val="2"/>
    <w:qFormat/>
    <w:uiPriority w:val="9"/>
    <w:rPr>
      <w:rFonts w:cs="Calibri"/>
      <w:b/>
      <w:bCs/>
      <w:kern w:val="44"/>
      <w:sz w:val="44"/>
      <w:szCs w:val="44"/>
    </w:rPr>
  </w:style>
  <w:style w:type="character" w:customStyle="1" w:styleId="11">
    <w:name w:val="Footer Char"/>
    <w:basedOn w:val="8"/>
    <w:link w:val="4"/>
    <w:semiHidden/>
    <w:qFormat/>
    <w:uiPriority w:val="99"/>
    <w:rPr>
      <w:rFonts w:cs="Calibri"/>
      <w:sz w:val="18"/>
      <w:szCs w:val="18"/>
    </w:rPr>
  </w:style>
  <w:style w:type="character" w:customStyle="1" w:styleId="12">
    <w:name w:val="Header Char"/>
    <w:basedOn w:val="8"/>
    <w:link w:val="5"/>
    <w:semiHidden/>
    <w:qFormat/>
    <w:uiPriority w:val="99"/>
    <w:rPr>
      <w:rFonts w:cs="Calibri"/>
      <w:sz w:val="18"/>
      <w:szCs w:val="18"/>
    </w:rPr>
  </w:style>
  <w:style w:type="character" w:customStyle="1" w:styleId="13">
    <w:name w:val="Body Text Char"/>
    <w:basedOn w:val="8"/>
    <w:link w:val="3"/>
    <w:semiHidden/>
    <w:qFormat/>
    <w:uiPriority w:val="99"/>
    <w:rPr>
      <w:rFonts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1001</Words>
  <Characters>1025</Characters>
  <Lines>0</Lines>
  <Paragraphs>0</Paragraphs>
  <TotalTime>48</TotalTime>
  <ScaleCrop>false</ScaleCrop>
  <LinksUpToDate>false</LinksUpToDate>
  <CharactersWithSpaces>1139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2023-04-20T08:08:00Z</dcterms:created>
  <dc:creator>Administrator</dc:creator>
  <cp:lastModifiedBy>静思</cp:lastModifiedBy>
  <cp:lastPrinted>2025-09-15T07:07:00Z</cp:lastPrinted>
  <dcterms:modified xsi:type="dcterms:W3CDTF">2025-09-19T08:09:45Z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8A39CCF04C084D88B705739206E76042_13</vt:lpwstr>
  </property>
  <property fmtid="{D5CDD505-2E9C-101B-9397-08002B2CF9AE}" pid="4" name="KSOTemplateDocerSaveRecord">
    <vt:lpwstr>eyJoZGlkIjoiZGRkYTY0ZGFiZGQ1ODA5YzU0N2UxYzZlZDdhYmMzYzkiLCJ1c2VySWQiOiI1MjkzODU0NjQifQ==</vt:lpwstr>
  </property>
</Properties>
</file>