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28A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spacing w:val="0"/>
          <w:w w:val="98"/>
          <w:kern w:val="0"/>
          <w:sz w:val="32"/>
          <w:szCs w:val="32"/>
          <w:u w:val="none" w:color="auto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napToGrid w:val="0"/>
          <w:spacing w:val="0"/>
          <w:w w:val="98"/>
          <w:kern w:val="0"/>
          <w:sz w:val="32"/>
          <w:szCs w:val="32"/>
          <w:u w:val="none" w:color="auto"/>
          <w:lang w:val="en-US" w:eastAsia="zh-CN" w:bidi="ar-SA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napToGrid w:val="0"/>
          <w:spacing w:val="0"/>
          <w:w w:val="98"/>
          <w:kern w:val="0"/>
          <w:sz w:val="32"/>
          <w:szCs w:val="32"/>
          <w:u w:val="none" w:color="auto"/>
          <w:lang w:val="en-US" w:eastAsia="zh-CN" w:bidi="ar-SA"/>
        </w:rPr>
        <w:t>2</w:t>
      </w:r>
    </w:p>
    <w:p w14:paraId="127F7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60" w:lineRule="exact"/>
        <w:ind w:firstLine="862" w:firstLineChars="200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napToGrid w:val="0"/>
          <w:spacing w:val="0"/>
          <w:w w:val="98"/>
          <w:kern w:val="0"/>
          <w:sz w:val="44"/>
          <w:szCs w:val="44"/>
          <w:u w:val="none" w:color="auto"/>
          <w:lang w:val="en-US" w:eastAsia="zh-CN" w:bidi="ar-SA"/>
        </w:rPr>
      </w:pPr>
    </w:p>
    <w:p w14:paraId="3958E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60" w:lineRule="exact"/>
        <w:ind w:firstLine="862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0"/>
          <w:w w:val="98"/>
          <w:kern w:val="0"/>
          <w:sz w:val="44"/>
          <w:szCs w:val="44"/>
          <w:u w:val="none" w:color="auto"/>
          <w:lang w:val="en-US" w:eastAsia="zh-CN" w:bidi="ar-SA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snapToGrid w:val="0"/>
          <w:spacing w:val="0"/>
          <w:w w:val="98"/>
          <w:kern w:val="0"/>
          <w:sz w:val="44"/>
          <w:szCs w:val="44"/>
          <w:u w:val="none" w:color="auto"/>
          <w:lang w:val="en-US" w:eastAsia="zh-CN" w:bidi="ar-SA"/>
        </w:rPr>
        <w:t>关于废止《淮安市地下水资源管理办法》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spacing w:val="0"/>
          <w:w w:val="98"/>
          <w:kern w:val="0"/>
          <w:sz w:val="44"/>
          <w:szCs w:val="44"/>
          <w:u w:val="none" w:color="auto"/>
          <w:lang w:val="en-US" w:eastAsia="zh-CN" w:bidi="ar-SA"/>
        </w:rPr>
        <w:t>的说明</w:t>
      </w:r>
    </w:p>
    <w:p w14:paraId="0308B660">
      <w:pPr>
        <w:pStyle w:val="3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pacing w:line="660" w:lineRule="exact"/>
        <w:ind w:left="0" w:leftChars="0" w:firstLine="0" w:firstLineChars="0"/>
        <w:textAlignment w:val="auto"/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</w:pPr>
    </w:p>
    <w:p w14:paraId="0FDD19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《淮安市地下水资源管理办法》（以下简称《办法》）自2017年施行以来，对规范本市地下水资源管理起到了重要作用。2021年国务院制定《地下水管理条例》，2024年《江苏省地下水管理条例》公布，均对地下水管理提出了全面加强的要求，系统构建了涵盖调查与规划、节约与保护、超采治理、污染防治及监督管理等环节的全链条、多层次监管体系。相比之下，《办法》中关于开发利用、保护与管理等核心内容已基本被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20"/>
          <w:lang w:val="en-US" w:eastAsia="zh-CN"/>
        </w:rPr>
        <w:t>《地下水管理条例》和《江苏省地下水管理条例》所覆盖，且其中部分条款（如组织封填等）与《中华人民共和国行政强制法》及《江苏省地下水管理条例》的规定不一致。因此，拟废止《淮安市地下水资源管理办法》。</w:t>
      </w:r>
    </w:p>
    <w:p w14:paraId="20450562"/>
    <w:sectPr>
      <w:footerReference r:id="rId3" w:type="default"/>
      <w:pgSz w:w="11906" w:h="16838"/>
      <w:pgMar w:top="1814" w:right="1531" w:bottom="1984" w:left="153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9B97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218EF"/>
    <w:rsid w:val="1C1371B1"/>
    <w:rsid w:val="4F32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200" w:firstLineChars="200"/>
    </w:pPr>
    <w:rPr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314</Characters>
  <Lines>0</Lines>
  <Paragraphs>0</Paragraphs>
  <TotalTime>0</TotalTime>
  <ScaleCrop>false</ScaleCrop>
  <LinksUpToDate>false</LinksUpToDate>
  <CharactersWithSpaces>314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2026-01-05T09:53:00Z</dcterms:created>
  <dc:creator>雷易</dc:creator>
  <cp:lastModifiedBy>雷易</cp:lastModifiedBy>
  <dcterms:modified xsi:type="dcterms:W3CDTF">2026-01-06T01:24:33Z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D8314E0883254BD6985AF6DF15341EED_11</vt:lpwstr>
  </property>
  <property fmtid="{D5CDD505-2E9C-101B-9397-08002B2CF9AE}" pid="4" name="KSOTemplateDocerSaveRecord">
    <vt:lpwstr>eyJoZGlkIjoiMGU5NjAyY2JlNDZmMWIwMzJmNmRjZTE2OTk5ZmFmMGEiLCJ1c2VySWQiOiI1NjUzNjIxMjMifQ==</vt:lpwstr>
  </property>
</Properties>
</file>