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淮安市人民政府关于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调整</w:t>
      </w:r>
      <w:r>
        <w:rPr>
          <w:rFonts w:ascii="Times New Roman" w:hAnsi="Times New Roman" w:eastAsia="方正小标宋_GBK" w:cs="Times New Roman"/>
          <w:sz w:val="44"/>
          <w:szCs w:val="44"/>
        </w:rPr>
        <w:t>征地涉及的地上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附着物和青苗等补偿标准的通知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（送审稿）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为规范征地补偿工作，切实维护被征地农民和农村集体经济组织的合法权益，根据《江苏省人民政府关于公布江苏省征地区片综合地价最低标准的通知》（苏政发</w:t>
      </w:r>
      <w:r>
        <w:rPr>
          <w:rFonts w:ascii="Times New Roman" w:hAnsi="Times New Roman" w:eastAsia="仿宋" w:cs="Times New Roman"/>
          <w:sz w:val="32"/>
          <w:szCs w:val="32"/>
        </w:rPr>
        <w:t>〔2020〕44号</w:t>
      </w:r>
      <w:r>
        <w:rPr>
          <w:rFonts w:ascii="Times New Roman" w:hAnsi="Times New Roman" w:eastAsia="方正仿宋_GBK" w:cs="Times New Roman"/>
          <w:sz w:val="32"/>
          <w:szCs w:val="32"/>
        </w:rPr>
        <w:t>）规定，市政府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拟</w:t>
      </w:r>
      <w:r>
        <w:rPr>
          <w:rFonts w:ascii="Times New Roman" w:hAnsi="Times New Roman" w:eastAsia="方正仿宋_GBK" w:cs="Times New Roman"/>
          <w:sz w:val="32"/>
          <w:szCs w:val="32"/>
        </w:rPr>
        <w:t>调整征地涉及的地上附着物和青苗等补偿标准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一、征地涉及的地上附着物和青苗等补偿标准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（一）青苗补偿费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青苗补偿费按一季的产值计算，能如期收获的不予补偿。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（二）地上附着物补偿费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可移植的经济作物、零星树木、木本花木等，支付移植费；不能移植的，给予合理补偿。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涉及水利、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交通运输、</w:t>
      </w:r>
      <w:r>
        <w:rPr>
          <w:rFonts w:ascii="Times New Roman" w:hAnsi="Times New Roman" w:eastAsia="方正仿宋_GBK" w:cs="Times New Roman"/>
          <w:sz w:val="32"/>
          <w:szCs w:val="32"/>
        </w:rPr>
        <w:t>电力、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通讯基础设施</w:t>
      </w:r>
      <w:r>
        <w:rPr>
          <w:rFonts w:ascii="Times New Roman" w:hAnsi="Times New Roman" w:eastAsia="方正仿宋_GBK" w:cs="Times New Roman"/>
          <w:sz w:val="32"/>
          <w:szCs w:val="32"/>
        </w:rPr>
        <w:t>等其他地上附着物，按等效替代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原则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进行迁移、改建或者支付迁移费、改建费、补偿费等。</w:t>
      </w:r>
      <w:r>
        <w:rPr>
          <w:rFonts w:ascii="Times New Roman" w:hAnsi="Times New Roman" w:eastAsia="方正仿宋_GBK" w:cs="Times New Roman"/>
          <w:sz w:val="32"/>
          <w:szCs w:val="32"/>
        </w:rPr>
        <w:t>房屋等建（构）筑物的拆迁补偿按有关法律法规规定执行。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3. </w:t>
      </w:r>
      <w:r>
        <w:rPr>
          <w:rFonts w:ascii="Times New Roman" w:hAnsi="Times New Roman" w:eastAsia="方正仿宋_GBK" w:cs="Times New Roman"/>
          <w:sz w:val="32"/>
          <w:szCs w:val="32"/>
        </w:rPr>
        <w:t>本通知未涵盖的征地涉及的地上附着物和青苗种类，有规定的执行相关规定；没有规定的，根据当年度市场价格评估确定。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二、省级以上重点工程补偿标准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国家或省级重点工程征地涉及的地上附着物和青苗补偿标准，低于本通知的，按本通知规定标准执行；高于本通知的，执行国家或省规定标准。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三、不予补偿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对拟征收土地范围已确定、自拟征收土地现状调查开展之日起栽种的青苗和其他地上附着物、搭建的房屋等建（构）筑物一律不予补偿，由所有权人自行拆除。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本通知自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公布之日起30日后</w:t>
      </w:r>
      <w:r>
        <w:rPr>
          <w:rFonts w:ascii="Times New Roman" w:hAnsi="Times New Roman" w:eastAsia="方正仿宋_GBK" w:cs="Times New Roman"/>
          <w:sz w:val="32"/>
          <w:szCs w:val="32"/>
        </w:rPr>
        <w:t>实施，有效期5年。《市政府关于调整征地补偿标准的通知》（淮政发</w:t>
      </w:r>
      <w:r>
        <w:rPr>
          <w:rFonts w:ascii="Times New Roman" w:hAnsi="Times New Roman" w:eastAsia="仿宋" w:cs="Times New Roman"/>
          <w:sz w:val="32"/>
          <w:szCs w:val="32"/>
        </w:rPr>
        <w:t>〔2011〕104号</w:t>
      </w:r>
      <w:r>
        <w:rPr>
          <w:rFonts w:ascii="Times New Roman" w:hAnsi="Times New Roman" w:eastAsia="方正仿宋_GBK" w:cs="Times New Roman"/>
          <w:sz w:val="32"/>
          <w:szCs w:val="32"/>
        </w:rPr>
        <w:t>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附表：1.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青苗补偿标准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多年生经济作物移植和砍伐补偿标准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零星树木和木本花木补偿标准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其他附着物补偿标准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附表1：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 xml:space="preserve"> 青苗补偿标准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3216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类  别</w:t>
            </w:r>
          </w:p>
        </w:tc>
        <w:tc>
          <w:tcPr>
            <w:tcW w:w="18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单  位</w:t>
            </w:r>
          </w:p>
        </w:tc>
        <w:tc>
          <w:tcPr>
            <w:tcW w:w="14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补偿标准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蔬菜</w:t>
            </w:r>
          </w:p>
        </w:tc>
        <w:tc>
          <w:tcPr>
            <w:tcW w:w="1817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元/亩</w:t>
            </w:r>
          </w:p>
        </w:tc>
        <w:tc>
          <w:tcPr>
            <w:tcW w:w="1465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17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粮食作物</w:t>
            </w:r>
          </w:p>
          <w:p>
            <w:pPr>
              <w:spacing w:after="12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（一年生经济作物）</w:t>
            </w:r>
          </w:p>
        </w:tc>
        <w:tc>
          <w:tcPr>
            <w:tcW w:w="1817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元/亩</w:t>
            </w:r>
          </w:p>
        </w:tc>
        <w:tc>
          <w:tcPr>
            <w:tcW w:w="1465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水生作物</w:t>
            </w:r>
          </w:p>
        </w:tc>
        <w:tc>
          <w:tcPr>
            <w:tcW w:w="1817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元/亩</w:t>
            </w:r>
          </w:p>
        </w:tc>
        <w:tc>
          <w:tcPr>
            <w:tcW w:w="1465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1300</w:t>
            </w:r>
          </w:p>
        </w:tc>
      </w:tr>
    </w:tbl>
    <w:p>
      <w:pPr>
        <w:spacing w:line="500" w:lineRule="exact"/>
        <w:ind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注：</w:t>
      </w:r>
    </w:p>
    <w:p>
      <w:pPr>
        <w:numPr>
          <w:ilvl w:val="0"/>
          <w:numId w:val="2"/>
        </w:numPr>
        <w:spacing w:line="500" w:lineRule="exact"/>
        <w:ind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青苗等产物能如期收获的不予补偿，由所有者或经营者限期清除并归其所有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left="0" w:leftChars="0"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本表未列品种可参照相应品种标准补偿。</w:t>
      </w:r>
    </w:p>
    <w:p>
      <w:pPr>
        <w:spacing w:line="500" w:lineRule="exact"/>
        <w:ind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附表2：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多年生经济作物移植和砍伐补偿标准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48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727"/>
        <w:gridCol w:w="1848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71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树  种</w:t>
            </w:r>
          </w:p>
        </w:tc>
        <w:tc>
          <w:tcPr>
            <w:tcW w:w="9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移植补偿</w:t>
            </w:r>
          </w:p>
        </w:tc>
        <w:tc>
          <w:tcPr>
            <w:tcW w:w="105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砍伐补偿</w:t>
            </w:r>
          </w:p>
        </w:tc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合理密植株数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1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桃、李、杏、梨、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柿、樱桃、苹果</w:t>
            </w:r>
          </w:p>
        </w:tc>
        <w:tc>
          <w:tcPr>
            <w:tcW w:w="98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19元／株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175元／株</w:t>
            </w:r>
          </w:p>
        </w:tc>
        <w:tc>
          <w:tcPr>
            <w:tcW w:w="124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≤80株／亩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1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枣、石榴、山楂、板栗</w:t>
            </w:r>
          </w:p>
        </w:tc>
        <w:tc>
          <w:tcPr>
            <w:tcW w:w="98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15元／株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135元／株</w:t>
            </w:r>
          </w:p>
        </w:tc>
        <w:tc>
          <w:tcPr>
            <w:tcW w:w="124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≤80株／亩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1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葡萄</w:t>
            </w:r>
          </w:p>
        </w:tc>
        <w:tc>
          <w:tcPr>
            <w:tcW w:w="98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8元／株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70元／株</w:t>
            </w:r>
          </w:p>
        </w:tc>
        <w:tc>
          <w:tcPr>
            <w:tcW w:w="124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≤200株／亩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1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桑园</w:t>
            </w:r>
          </w:p>
        </w:tc>
        <w:tc>
          <w:tcPr>
            <w:tcW w:w="98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4元／株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9元／株</w:t>
            </w:r>
          </w:p>
        </w:tc>
        <w:tc>
          <w:tcPr>
            <w:tcW w:w="124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≤1000株／亩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Hlk111384661"/>
      <w:r>
        <w:rPr>
          <w:rFonts w:ascii="Times New Roman" w:hAnsi="Times New Roman" w:eastAsia="方正仿宋_GBK" w:cs="Times New Roman"/>
          <w:sz w:val="28"/>
          <w:szCs w:val="28"/>
        </w:rPr>
        <w:t>本表未列品种可参照相应品种标准补偿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生长期≥3年的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sz w:val="28"/>
          <w:szCs w:val="28"/>
        </w:rPr>
        <w:t>按砍伐补偿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ascii="Times New Roman" w:hAnsi="Times New Roman" w:eastAsia="方正仿宋_GBK" w:cs="Times New Roman"/>
          <w:sz w:val="28"/>
          <w:szCs w:val="28"/>
        </w:rPr>
        <w:t>1年≤生长期</w:t>
      </w:r>
      <w:r>
        <w:rPr>
          <w:rFonts w:ascii="Times New Roman" w:hAnsi="Times New Roman" w:eastAsia="仿宋" w:cs="Times New Roman"/>
          <w:sz w:val="28"/>
          <w:szCs w:val="28"/>
        </w:rPr>
        <w:t>&lt;</w:t>
      </w:r>
      <w:r>
        <w:rPr>
          <w:rFonts w:ascii="Times New Roman" w:hAnsi="Times New Roman" w:eastAsia="方正仿宋_GBK" w:cs="Times New Roman"/>
          <w:sz w:val="28"/>
          <w:szCs w:val="28"/>
        </w:rPr>
        <w:t>3年的按砍伐补偿标准的60%补偿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ascii="Times New Roman" w:hAnsi="Times New Roman" w:eastAsia="方正仿宋_GBK" w:cs="Times New Roman"/>
          <w:sz w:val="28"/>
          <w:szCs w:val="28"/>
        </w:rPr>
        <w:t>生长期</w:t>
      </w:r>
      <w:r>
        <w:rPr>
          <w:rFonts w:ascii="Times New Roman" w:hAnsi="Times New Roman" w:eastAsia="仿宋" w:cs="Times New Roman"/>
          <w:sz w:val="28"/>
          <w:szCs w:val="28"/>
        </w:rPr>
        <w:t>&lt;</w:t>
      </w:r>
      <w:r>
        <w:rPr>
          <w:rFonts w:ascii="Times New Roman" w:hAnsi="Times New Roman" w:eastAsia="方正仿宋_GBK" w:cs="Times New Roman"/>
          <w:sz w:val="28"/>
          <w:szCs w:val="28"/>
        </w:rPr>
        <w:t>1年的，按移植补偿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密植度大于合理密植株数的，按本表合理密植株数标准补偿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果树、树木、苗圃、农作物等套种套植的，以一种地上附着物为主补偿，套种套植品种按相应品种青苗补偿费标准的80%补偿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树木等附着物由产权人或经营者限期自行清除，并归其所有。</w:t>
      </w:r>
    </w:p>
    <w:bookmarkEnd w:id="0"/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附表3：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 xml:space="preserve"> </w:t>
      </w:r>
      <w:r>
        <w:rPr>
          <w:rFonts w:ascii="Times New Roman" w:hAnsi="Times New Roman" w:eastAsia="方正小标宋_GBK" w:cs="Times New Roman"/>
          <w:sz w:val="44"/>
          <w:szCs w:val="44"/>
        </w:rPr>
        <w:t>零星树木和木本花木补偿标准</w:t>
      </w:r>
    </w:p>
    <w:p>
      <w:pPr>
        <w:spacing w:line="54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3272"/>
        <w:gridCol w:w="2260"/>
        <w:gridCol w:w="102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44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 xml:space="preserve">类  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别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规  格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补偿标准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零星树木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</w:rPr>
              <w:t>移植补偿</w:t>
            </w:r>
          </w:p>
        </w:tc>
        <w:tc>
          <w:tcPr>
            <w:tcW w:w="3449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凡树木未成材可移植的，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不分品种，按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胸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高直径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（1.3米处直径）计算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，付移植费用。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合理密度：10公分以下每亩限250株。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胸径＜5公分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元/株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3449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5公分≤胸径＜10公分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砍伐标准</w:t>
            </w:r>
          </w:p>
        </w:tc>
        <w:tc>
          <w:tcPr>
            <w:tcW w:w="3449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意杨、泡桐、水池杉、柳榆、刺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槐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等用材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树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和绿化树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合理密度：10公分以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上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每亩限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株。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10公分≤胸径＜15公分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/株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34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15公分≤胸径＜25公分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34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25公分≤胸径＜35公分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34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胸径≥35公分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竹林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元/平方米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花木苗圃移植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1.生产性花木，不分品种，凡可迁移的，起挖、包扎、运输、栽植按每平方米15元计算迁移费；不能迁移的，按每平方米25-30元给予补偿；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2.庭院观赏地栽花木，不分品种，按每平方米30元给予补偿；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3.盆栽花木不予补偿。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bookmarkStart w:id="1" w:name="_Hlk111384766"/>
      <w:r>
        <w:rPr>
          <w:rFonts w:ascii="Times New Roman" w:hAnsi="Times New Roman" w:eastAsia="方正仿宋_GBK" w:cs="Times New Roman"/>
          <w:sz w:val="28"/>
          <w:szCs w:val="28"/>
        </w:rPr>
        <w:t>树木等附着物由产权人或经营者限期自行清除，并归其所有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由于树木的胸径越大，其售卖的价格越高，故当胸径≥15公分时，补偿标准不增反减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相近或类似的品种可参照此标准补偿。</w:t>
      </w:r>
    </w:p>
    <w:bookmarkEnd w:id="1"/>
    <w:p>
      <w:pPr>
        <w:spacing w:line="52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附表4：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其他附着物补偿标准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144"/>
        <w:gridCol w:w="1428"/>
        <w:gridCol w:w="1402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11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 xml:space="preserve">规 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格</w:t>
            </w:r>
          </w:p>
        </w:tc>
        <w:tc>
          <w:tcPr>
            <w:tcW w:w="7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位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补偿标准</w:t>
            </w:r>
          </w:p>
        </w:tc>
        <w:tc>
          <w:tcPr>
            <w:tcW w:w="159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水井</w:t>
            </w: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手压井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元/眼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砖砌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元/只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1500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水泥管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元/米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畜禽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棚舍</w:t>
            </w: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简易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元/平方米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砖砌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元/平方米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粪坑</w:t>
            </w: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缸式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元/只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61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砖砌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元/只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3500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按砌砖尺寸：长3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×宽2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×深1.5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（含盖板）测算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迁坟</w:t>
            </w: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单棺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2000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双棺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3000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拾骨（就地深埋）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1000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61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蔬菜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大棚</w:t>
            </w: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竹木骨架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覆塑料薄膜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元/平方米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61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钢架覆塑料薄膜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元/平方米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水泥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涵管</w:t>
            </w: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直径＜30cm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元/米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按直径30cm承插式考虑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30cm≤直径＜60cm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元/米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按直径40cm、50cm、60cm承插式平均价考虑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直径≥60cm</w:t>
            </w:r>
          </w:p>
        </w:tc>
        <w:tc>
          <w:tcPr>
            <w:tcW w:w="78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元/米</w:t>
            </w:r>
          </w:p>
        </w:tc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100</w:t>
            </w:r>
          </w:p>
        </w:tc>
        <w:tc>
          <w:tcPr>
            <w:tcW w:w="159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按直径80cm、100cm、120cm承插式平均价考虑</w:t>
            </w:r>
          </w:p>
        </w:tc>
      </w:tr>
    </w:tbl>
    <w:p>
      <w:pPr>
        <w:spacing w:line="50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注：</w:t>
      </w:r>
    </w:p>
    <w:p>
      <w:pPr>
        <w:numPr>
          <w:ilvl w:val="0"/>
          <w:numId w:val="5"/>
        </w:numPr>
        <w:spacing w:line="500" w:lineRule="exact"/>
        <w:ind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bookmarkStart w:id="2" w:name="_Hlk111384835"/>
      <w:r>
        <w:rPr>
          <w:rFonts w:ascii="Times New Roman" w:hAnsi="Times New Roman" w:eastAsia="方正仿宋_GBK" w:cs="Times New Roman"/>
          <w:sz w:val="28"/>
          <w:szCs w:val="28"/>
        </w:rPr>
        <w:t>电力、广播、通讯杆线、有线电视及相关设施按有关部门规定执行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5"/>
        </w:numPr>
        <w:spacing w:line="500" w:lineRule="exact"/>
        <w:ind w:left="0" w:leftChars="0"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水产养殖、特种养殖设施能迁移的，给付迁移费；不能迁移的，按实际情况给予合理补偿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5"/>
        </w:numPr>
        <w:spacing w:line="500" w:lineRule="exact"/>
        <w:ind w:left="0" w:leftChars="0"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自建道路、电灌站、排涝站及其他农田水利设施，根据实际情况给予合理补偿。</w:t>
      </w:r>
    </w:p>
    <w:bookmarkEnd w:id="2"/>
    <w:p>
      <w:pPr>
        <w:ind w:firstLine="420" w:firstLineChars="200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5172710</wp:posOffset>
              </wp:positionH>
              <wp:positionV relativeFrom="paragraph">
                <wp:posOffset>-74295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3pt;margin-top:-5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QAuXrZAAAADA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FB4FA6"/>
    <w:multiLevelType w:val="singleLevel"/>
    <w:tmpl w:val="DAFB4FA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8B06F52"/>
    <w:multiLevelType w:val="singleLevel"/>
    <w:tmpl w:val="F8B06F5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7BD9131"/>
    <w:multiLevelType w:val="singleLevel"/>
    <w:tmpl w:val="27BD913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29083C5"/>
    <w:multiLevelType w:val="singleLevel"/>
    <w:tmpl w:val="429083C5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abstractNum w:abstractNumId="4">
    <w:nsid w:val="705666BD"/>
    <w:multiLevelType w:val="singleLevel"/>
    <w:tmpl w:val="705666BD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lZjE5MTI2NjBmYTk1MzVjYzc3YTMyNGU2ZjE5ZTkifQ=="/>
  </w:docVars>
  <w:rsids>
    <w:rsidRoot w:val="00F647B0"/>
    <w:rsid w:val="001F43EC"/>
    <w:rsid w:val="00240A3B"/>
    <w:rsid w:val="00244090"/>
    <w:rsid w:val="002E4300"/>
    <w:rsid w:val="0036694F"/>
    <w:rsid w:val="003C47DB"/>
    <w:rsid w:val="004233F0"/>
    <w:rsid w:val="00537C28"/>
    <w:rsid w:val="0054403C"/>
    <w:rsid w:val="005A28AA"/>
    <w:rsid w:val="006A511C"/>
    <w:rsid w:val="007B0E90"/>
    <w:rsid w:val="007C7517"/>
    <w:rsid w:val="00831BDD"/>
    <w:rsid w:val="00986A9A"/>
    <w:rsid w:val="009A3E1E"/>
    <w:rsid w:val="00A37C71"/>
    <w:rsid w:val="00A832FD"/>
    <w:rsid w:val="00B620BB"/>
    <w:rsid w:val="00C7305A"/>
    <w:rsid w:val="00C81A3C"/>
    <w:rsid w:val="00CE57D2"/>
    <w:rsid w:val="00D40D69"/>
    <w:rsid w:val="00DA5C32"/>
    <w:rsid w:val="00E5467B"/>
    <w:rsid w:val="00E621F4"/>
    <w:rsid w:val="00E65C88"/>
    <w:rsid w:val="00ED386D"/>
    <w:rsid w:val="00F647B0"/>
    <w:rsid w:val="01130DE1"/>
    <w:rsid w:val="023D293E"/>
    <w:rsid w:val="025D08EA"/>
    <w:rsid w:val="02BC5324"/>
    <w:rsid w:val="03C2759E"/>
    <w:rsid w:val="04784101"/>
    <w:rsid w:val="053E0EA6"/>
    <w:rsid w:val="06AC22CD"/>
    <w:rsid w:val="07027CB2"/>
    <w:rsid w:val="07B436A2"/>
    <w:rsid w:val="085968F6"/>
    <w:rsid w:val="089A0627"/>
    <w:rsid w:val="08C35A83"/>
    <w:rsid w:val="08FF094D"/>
    <w:rsid w:val="094F64BE"/>
    <w:rsid w:val="0B2E6C33"/>
    <w:rsid w:val="0B416FFB"/>
    <w:rsid w:val="0B7E024F"/>
    <w:rsid w:val="0BA149AD"/>
    <w:rsid w:val="0BA63302"/>
    <w:rsid w:val="0C450D6C"/>
    <w:rsid w:val="0C476BFF"/>
    <w:rsid w:val="0D52342B"/>
    <w:rsid w:val="0DE916F2"/>
    <w:rsid w:val="0DEE2D3E"/>
    <w:rsid w:val="0F4F7DB4"/>
    <w:rsid w:val="0FF46D31"/>
    <w:rsid w:val="0FFF2361"/>
    <w:rsid w:val="10BC7123"/>
    <w:rsid w:val="112518E3"/>
    <w:rsid w:val="1193257A"/>
    <w:rsid w:val="11ED5CE9"/>
    <w:rsid w:val="13426006"/>
    <w:rsid w:val="141334FE"/>
    <w:rsid w:val="14535FF1"/>
    <w:rsid w:val="1489582B"/>
    <w:rsid w:val="15EE4223"/>
    <w:rsid w:val="160E6673"/>
    <w:rsid w:val="17FC336F"/>
    <w:rsid w:val="187E26D8"/>
    <w:rsid w:val="189920E7"/>
    <w:rsid w:val="18E84F59"/>
    <w:rsid w:val="191E097B"/>
    <w:rsid w:val="19A228E7"/>
    <w:rsid w:val="1B2B35C4"/>
    <w:rsid w:val="1D996C0D"/>
    <w:rsid w:val="1DCC1838"/>
    <w:rsid w:val="1E472900"/>
    <w:rsid w:val="1E8B4493"/>
    <w:rsid w:val="1EA218DF"/>
    <w:rsid w:val="1F69491A"/>
    <w:rsid w:val="1FB65DB1"/>
    <w:rsid w:val="1FE30229"/>
    <w:rsid w:val="203E1903"/>
    <w:rsid w:val="226A4C31"/>
    <w:rsid w:val="24EA6715"/>
    <w:rsid w:val="28E76FDC"/>
    <w:rsid w:val="28EE494D"/>
    <w:rsid w:val="29555DE6"/>
    <w:rsid w:val="2A44045E"/>
    <w:rsid w:val="2CB5119F"/>
    <w:rsid w:val="2D173C07"/>
    <w:rsid w:val="2F1932B1"/>
    <w:rsid w:val="2F300FB0"/>
    <w:rsid w:val="2F834783"/>
    <w:rsid w:val="2FB11DF9"/>
    <w:rsid w:val="2FB64B8B"/>
    <w:rsid w:val="2FDD4C94"/>
    <w:rsid w:val="311C7A3E"/>
    <w:rsid w:val="322F3459"/>
    <w:rsid w:val="33B65F28"/>
    <w:rsid w:val="342858C4"/>
    <w:rsid w:val="343A01EC"/>
    <w:rsid w:val="34945B3E"/>
    <w:rsid w:val="351611E3"/>
    <w:rsid w:val="35203E5C"/>
    <w:rsid w:val="35AF0E81"/>
    <w:rsid w:val="36C56180"/>
    <w:rsid w:val="381C0324"/>
    <w:rsid w:val="384B0D26"/>
    <w:rsid w:val="394C7D36"/>
    <w:rsid w:val="394F2A23"/>
    <w:rsid w:val="3A07339A"/>
    <w:rsid w:val="3C5067EE"/>
    <w:rsid w:val="3C5A58BF"/>
    <w:rsid w:val="3C71648E"/>
    <w:rsid w:val="3C771FB8"/>
    <w:rsid w:val="3CD25303"/>
    <w:rsid w:val="3CFF71B8"/>
    <w:rsid w:val="3D2D17D0"/>
    <w:rsid w:val="3DE713D4"/>
    <w:rsid w:val="3EF06C30"/>
    <w:rsid w:val="3F12422F"/>
    <w:rsid w:val="40836138"/>
    <w:rsid w:val="40970783"/>
    <w:rsid w:val="40CB0B39"/>
    <w:rsid w:val="41F92FE7"/>
    <w:rsid w:val="41FF3D94"/>
    <w:rsid w:val="42124F8F"/>
    <w:rsid w:val="42B51AA1"/>
    <w:rsid w:val="42D53B65"/>
    <w:rsid w:val="433B3A71"/>
    <w:rsid w:val="434A21E9"/>
    <w:rsid w:val="4427252A"/>
    <w:rsid w:val="445B4B11"/>
    <w:rsid w:val="45FB5A1D"/>
    <w:rsid w:val="46032B23"/>
    <w:rsid w:val="467F21AA"/>
    <w:rsid w:val="47590C4D"/>
    <w:rsid w:val="47947ED7"/>
    <w:rsid w:val="48007F0A"/>
    <w:rsid w:val="483F501C"/>
    <w:rsid w:val="48FA1FBB"/>
    <w:rsid w:val="499248EA"/>
    <w:rsid w:val="49AD3E7C"/>
    <w:rsid w:val="49CF031D"/>
    <w:rsid w:val="4AD9013D"/>
    <w:rsid w:val="4B647BC0"/>
    <w:rsid w:val="4B6E5348"/>
    <w:rsid w:val="4C6007E8"/>
    <w:rsid w:val="4C6065D9"/>
    <w:rsid w:val="4CBA5FC9"/>
    <w:rsid w:val="4D2D0C86"/>
    <w:rsid w:val="4E393586"/>
    <w:rsid w:val="4E677C85"/>
    <w:rsid w:val="4FA42819"/>
    <w:rsid w:val="5035550B"/>
    <w:rsid w:val="505E72D4"/>
    <w:rsid w:val="51BB2504"/>
    <w:rsid w:val="530A7D45"/>
    <w:rsid w:val="567F61F6"/>
    <w:rsid w:val="56C87B9D"/>
    <w:rsid w:val="56EF6ED8"/>
    <w:rsid w:val="572C15C6"/>
    <w:rsid w:val="57A001D2"/>
    <w:rsid w:val="57D638D5"/>
    <w:rsid w:val="597E4543"/>
    <w:rsid w:val="5BAC159B"/>
    <w:rsid w:val="5D752101"/>
    <w:rsid w:val="5D8A5CD7"/>
    <w:rsid w:val="5DA64068"/>
    <w:rsid w:val="5E6C3604"/>
    <w:rsid w:val="5FC44C79"/>
    <w:rsid w:val="600A4D82"/>
    <w:rsid w:val="60687CFB"/>
    <w:rsid w:val="618B082F"/>
    <w:rsid w:val="64340620"/>
    <w:rsid w:val="64794284"/>
    <w:rsid w:val="64BB664B"/>
    <w:rsid w:val="652F0DE7"/>
    <w:rsid w:val="663743F7"/>
    <w:rsid w:val="673E6FFD"/>
    <w:rsid w:val="67E4324C"/>
    <w:rsid w:val="68F20AA9"/>
    <w:rsid w:val="68F55EA4"/>
    <w:rsid w:val="6A6C0D78"/>
    <w:rsid w:val="6A70797F"/>
    <w:rsid w:val="6AE60FE5"/>
    <w:rsid w:val="6AEC20B5"/>
    <w:rsid w:val="6AEE382D"/>
    <w:rsid w:val="6B8F0831"/>
    <w:rsid w:val="6CA95923"/>
    <w:rsid w:val="6CE07597"/>
    <w:rsid w:val="6DAB2AD4"/>
    <w:rsid w:val="6DE07122"/>
    <w:rsid w:val="6DF57072"/>
    <w:rsid w:val="6E6829CA"/>
    <w:rsid w:val="6EB22612"/>
    <w:rsid w:val="6EE025C2"/>
    <w:rsid w:val="6F08090C"/>
    <w:rsid w:val="6F8F7052"/>
    <w:rsid w:val="6FBD2E10"/>
    <w:rsid w:val="70C57A65"/>
    <w:rsid w:val="72261297"/>
    <w:rsid w:val="72784930"/>
    <w:rsid w:val="72D7174D"/>
    <w:rsid w:val="7386076C"/>
    <w:rsid w:val="73C3376E"/>
    <w:rsid w:val="73C424DD"/>
    <w:rsid w:val="74542618"/>
    <w:rsid w:val="762115A2"/>
    <w:rsid w:val="78B862EC"/>
    <w:rsid w:val="79765133"/>
    <w:rsid w:val="7A3641CD"/>
    <w:rsid w:val="7A804167"/>
    <w:rsid w:val="7A8E0571"/>
    <w:rsid w:val="7A995229"/>
    <w:rsid w:val="7ADA3086"/>
    <w:rsid w:val="7AEC7106"/>
    <w:rsid w:val="7B0D5E20"/>
    <w:rsid w:val="7B9F350A"/>
    <w:rsid w:val="7C0E6296"/>
    <w:rsid w:val="7C9712F4"/>
    <w:rsid w:val="7DFD1B42"/>
    <w:rsid w:val="7E7C145F"/>
    <w:rsid w:val="7F0A2251"/>
    <w:rsid w:val="7F9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83D598-1077-48EB-91DE-36319E538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1857</Words>
  <Characters>2038</Characters>
  <Lines>16</Lines>
  <Paragraphs>4</Paragraphs>
  <TotalTime>6</TotalTime>
  <ScaleCrop>false</ScaleCrop>
  <LinksUpToDate>false</LinksUpToDate>
  <CharactersWithSpaces>2080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2022-08-16T06:28:00Z</dcterms:created>
  <dc:creator>ZT</dc:creator>
  <cp:lastModifiedBy>Die Nimandsrose</cp:lastModifiedBy>
  <cp:lastPrinted>2022-08-19T10:23:00Z</cp:lastPrinted>
  <dcterms:modified xsi:type="dcterms:W3CDTF">2023-02-23T02:12:50Z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8971DAFFD6DF4254BBCCDFCDA25373ED</vt:lpwstr>
  </property>
  <property fmtid="{D5CDD505-2E9C-101B-9397-08002B2CF9AE}" pid="4" name="KSOSaveFontToCloudKey">
    <vt:lpwstr>446346467_btnclosed</vt:lpwstr>
  </property>
</Properties>
</file>